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04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63C9F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CC03F2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25 октября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57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C03F2" w:rsidRDefault="00CC03F2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Об итогах проведения </w:t>
      </w:r>
      <w:proofErr w:type="gramStart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межве</w:t>
      </w:r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oftHyphen/>
        <w:t>домственной</w:t>
      </w:r>
      <w:proofErr w:type="gramEnd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профилактической </w:t>
      </w:r>
    </w:p>
    <w:p w:rsidR="00F0167B" w:rsidRDefault="00CC03F2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опе</w:t>
      </w:r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oftHyphen/>
        <w:t xml:space="preserve">рации «Подросток» </w:t>
      </w:r>
      <w:proofErr w:type="gramStart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proofErr w:type="gramEnd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</w:t>
      </w:r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oftHyphen/>
        <w:t>ганском</w:t>
      </w:r>
      <w:proofErr w:type="gramEnd"/>
      <w:r w:rsidRPr="00CC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районе в 2018 году</w:t>
      </w:r>
    </w:p>
    <w:p w:rsidR="00CC03F2" w:rsidRPr="00CC03F2" w:rsidRDefault="00CC03F2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0586" w:rsidRDefault="00FF054B" w:rsidP="008043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CCD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4E0CCD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043F8">
        <w:rPr>
          <w:rFonts w:ascii="Times New Roman" w:eastAsia="Calibri" w:hAnsi="Times New Roman" w:cs="Times New Roman"/>
          <w:sz w:val="26"/>
          <w:szCs w:val="26"/>
        </w:rPr>
        <w:t>и Департамента обр</w:t>
      </w:r>
      <w:r w:rsidR="008043F8">
        <w:rPr>
          <w:rFonts w:ascii="Times New Roman" w:eastAsia="Calibri" w:hAnsi="Times New Roman" w:cs="Times New Roman"/>
          <w:sz w:val="26"/>
          <w:szCs w:val="26"/>
        </w:rPr>
        <w:t>а</w:t>
      </w:r>
      <w:r w:rsidR="008043F8">
        <w:rPr>
          <w:rFonts w:ascii="Times New Roman" w:eastAsia="Calibri" w:hAnsi="Times New Roman" w:cs="Times New Roman"/>
          <w:sz w:val="26"/>
          <w:szCs w:val="26"/>
        </w:rPr>
        <w:t xml:space="preserve">зования и молодежной политики Нефтеюганского района </w:t>
      </w:r>
      <w:r w:rsidRPr="004E0CCD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4E0CCD">
        <w:rPr>
          <w:rFonts w:ascii="Times New Roman" w:eastAsia="Calibri" w:hAnsi="Times New Roman" w:cs="Times New Roman"/>
          <w:sz w:val="26"/>
          <w:szCs w:val="26"/>
        </w:rPr>
        <w:t>т</w:t>
      </w:r>
      <w:r w:rsidRPr="004E0CCD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 w:rsidRPr="004E0CCD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и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ла:</w:t>
      </w:r>
      <w:r w:rsidR="008043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43F8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C03F2" w:rsidRPr="00CC03F2" w:rsidRDefault="008043F8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Во исполнение постановления Комиссии по делам несовершеннолетних и з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щите их прав при Правительстве Ханты-Мансийского автономного округа – Югры от 14.12.2017 № 112 «О проведении межведомственной профилактической опер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ции» «Подросток» и п. 4.6.2 Плана основных организационных мероприятий У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правления Министерства внутренних дел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Х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анты - Мансийскому авт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номному округу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Югре на 2018 год, на территории Нефтеюганского района орг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низована и проведена межведомственная профилактическая операция «Подр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сток», состоящая из</w:t>
      </w:r>
      <w:proofErr w:type="gramEnd"/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 4-х этапов. Ежедневно в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меропри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ятиях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принимало участие 11 сотрудников полиции и 28 представителей субъектов системы профилактики бе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надзорности и правонарушений несовершеннолетних Нефтеюганского района.</w:t>
      </w:r>
    </w:p>
    <w:p w:rsidR="00CC03F2" w:rsidRPr="00CC03F2" w:rsidRDefault="00CC03F2" w:rsidP="00CC03F2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За период проведения операции с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отрудниками </w:t>
      </w:r>
      <w:r w:rsidR="008043F8">
        <w:rPr>
          <w:rFonts w:ascii="Times New Roman" w:hAnsi="Times New Roman" w:cs="Times New Roman"/>
          <w:color w:val="000000"/>
          <w:sz w:val="26"/>
          <w:szCs w:val="26"/>
        </w:rPr>
        <w:t>ОМВД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проверялись места возможного пребывания несовершеннолетних – всего 1012 из них: подъездов ж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лых домов, чердаков, подвалов – 327, кафе, баров, ресторанов – 106, дворовых площадок – 411, строек, заброшенных зданий – 99, проверено объектов транспорта – 69. В целях усиления контроля за правилами торговли спиртными напитками и табачной продукции, проводились рейды по торговым точкам населенных пунктов Нефтеюганского района всего осуществлено 160 проверок.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 период проведения профилактического мероприятия в ОМВД России по Нефтеюганскому району несовершеннолетние не доставлялись. За распитие спир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ных напитков и за нахождение в состоянии алкогольного опьянения лица не пр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влекались.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Сотрудниками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 полиции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 с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представителями органов и учрежд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ний системы профилактики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органи</w:t>
      </w:r>
      <w:r w:rsidR="008043F8">
        <w:rPr>
          <w:rFonts w:ascii="Times New Roman" w:hAnsi="Times New Roman" w:cs="Times New Roman"/>
          <w:color w:val="000000"/>
          <w:sz w:val="26"/>
          <w:szCs w:val="26"/>
        </w:rPr>
        <w:t>зована отработка жилого сектора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с целью выя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ления беспризорных и безнадзорных несовершеннолетних, родителей, злостно уклоняющихся от воспитания детей, допускающих жестокое обращение с ними, проверя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лись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места концентрации несовершеннолетних. За период проведения оп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043F8">
        <w:rPr>
          <w:rFonts w:ascii="Times New Roman" w:hAnsi="Times New Roman" w:cs="Times New Roman"/>
          <w:color w:val="000000"/>
          <w:sz w:val="26"/>
          <w:szCs w:val="26"/>
        </w:rPr>
        <w:t xml:space="preserve">рации проведено проверок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213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неблагополучных роди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телей</w:t>
      </w:r>
      <w:r w:rsidR="008043F8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136 </w:t>
      </w: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>несо-вершеннолетних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>, состоящих на профилакти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>ческом учете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Поставлено на проф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лактический учет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в ОМВД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6 неблагополучных родителей и 5 несовершеннолетних.</w:t>
      </w:r>
    </w:p>
    <w:p w:rsidR="00CC03F2" w:rsidRPr="00CC03F2" w:rsidRDefault="00CC03F2" w:rsidP="00CC03F2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правную деятельность, а так же с целью выявления несовершеннолетних, наход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щихся в алкогольном, наркотическом опьянении. 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 период провед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>ения операции сотрудниками ОМВД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 было составлено 204 </w:t>
      </w: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>административных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протокола. По профилактике безнадзорности и пра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вонаруш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ний несовершеннолетних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выявлено </w:t>
      </w:r>
      <w:bookmarkStart w:id="0" w:name="_GoBack"/>
      <w:bookmarkEnd w:id="0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78 нарушений, из них: привлечено к админ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стр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>ативной ответственности 38 лиц по ст. 5.35 КоАП РФ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, 5 лиц по ст. 20.22 КоАП РФ, 17 лиц по ч.2.1 ст. 14.16 КоАП РФ, 18 лиц по ст. 14.15 КоАП РФ.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Несмотря на  предпринятые меры в период проведения 3-го этапа </w:t>
      </w:r>
      <w:r w:rsidR="00C52941">
        <w:rPr>
          <w:rFonts w:ascii="Times New Roman" w:hAnsi="Times New Roman" w:cs="Times New Roman"/>
          <w:color w:val="000000"/>
          <w:sz w:val="26"/>
          <w:szCs w:val="26"/>
        </w:rPr>
        <w:t xml:space="preserve">операции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«Подросток» несовершеннолетним, состоящим на профилактическом учете, с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вершено преступление  (ст. 158 УК РФ). </w:t>
      </w:r>
    </w:p>
    <w:p w:rsidR="00DA11F8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летний период 2018 года на </w:t>
      </w: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структур системы профилактики с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стояло 59 несовершеннолетних в возрасте от 7 до 18 лет, в том числе 18 подрос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ков, находящихся в конфликте с законом, 41  несовершеннолетний, проживающий в семьях, находящихся в социально опасном положении. По итогам 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>организации занятости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за три летних месяца 2018 года трудоустройством, оздоровлением и 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дыхом охвачено 100% несовершеннолетних, находящихся в социально опасном положении, в том числе состоящих на профилактическом учете в ОМВД России по Нефтеюганскому району.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434437">
        <w:rPr>
          <w:rFonts w:ascii="Times New Roman" w:hAnsi="Times New Roman" w:cs="Times New Roman"/>
          <w:color w:val="000000"/>
          <w:sz w:val="26"/>
          <w:szCs w:val="26"/>
        </w:rPr>
        <w:t>В период проведения 4 этапа операции «Подросток», н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а основании приказа Департамента образования и молодежной политики Нефтеюганского района от 03.09.2018 № 635-0 «О ведении учёта детей, подлежащих обучению по образов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тельным программам дошкольного, начального общего, основного общего и сре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него общего образования и форм получения образования, определённых родител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ми (законными представителями) детей в  2018-2019  учебном году» проведен учет детей, подлежащих обучению по образовательным программам дошкольного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>, начального общего, основного общего и среднего общего образования, и форм п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лучения образования, определённых родителями (законными представителями) д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тей на начало 2018-2019 учебного года.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  Представителями образовательных организаций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был осуществлен сбор данных о детях, проживающих на территории, за которой закреплена образов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тельная органи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зация, посредством сопоставления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кон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трольных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>спис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ков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с местом прожива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ния обучающихся, проведения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подворовы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об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ходов, обеспечения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взаим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дей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ствия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с дошкольными образовательными организациями по устройству 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пускников.</w:t>
      </w:r>
    </w:p>
    <w:p w:rsidR="00CC03F2" w:rsidRPr="00CC03F2" w:rsidRDefault="006D0255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ab/>
        <w:t>По состоянию на 01.09.2018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в возрасте от 6 до 18 лет на закреплённых за школа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ми района территориях проживало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944 детей (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аналогичный период пр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 xml:space="preserve">шлого года (далее –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АППГ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708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чел.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). Из них: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зачислены в дошкольные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>е учреждения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388 человек (АППГ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418);</w:t>
      </w:r>
      <w:proofErr w:type="gramEnd"/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неорганизованных детей дошкольного возраста - 4 человека (АППГ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11);</w:t>
      </w:r>
    </w:p>
    <w:p w:rsidR="00434437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обучаются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 общеобразовательных учреждениях района – 5145 учащихся (АППГ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4985), </w:t>
      </w:r>
    </w:p>
    <w:p w:rsidR="00CC03F2" w:rsidRPr="00CC03F2" w:rsidRDefault="00CC03F2" w:rsidP="004344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>- в школах других городов обучаются 82 человека;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>- в учреждениях НПО, СПО - 265 человек (АППГ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226);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- в ВУЗах - 44 человека (АППГ 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34);</w:t>
      </w:r>
    </w:p>
    <w:p w:rsidR="00CC03F2" w:rsidRP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>- работают и не учатся - 4 человека (АППГ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3);</w:t>
      </w:r>
    </w:p>
    <w:p w:rsidR="00CC03F2" w:rsidRPr="00CC03F2" w:rsidRDefault="00434437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не работают и не учатся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- 5 человек.</w:t>
      </w:r>
    </w:p>
    <w:p w:rsidR="00CC03F2" w:rsidRPr="00CC03F2" w:rsidRDefault="006D0255" w:rsidP="006D025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Выпускников 2017-2018 учебного года,  окончивших обучение по адаптир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ванной образовательной программе для обучающихся с умственной отсталостью (интеллектуальными нарушениям</w:t>
      </w:r>
      <w:r>
        <w:rPr>
          <w:rFonts w:ascii="Times New Roman" w:hAnsi="Times New Roman" w:cs="Times New Roman"/>
          <w:color w:val="000000"/>
          <w:sz w:val="26"/>
          <w:szCs w:val="26"/>
        </w:rPr>
        <w:t>и) - 7 человек, и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з них 3 человека продолжают обучение, 2 - трудоустроены, 1 - посещает курсы, 1 - сменил место жительства.</w:t>
      </w:r>
    </w:p>
    <w:p w:rsidR="00CC03F2" w:rsidRPr="00CC03F2" w:rsidRDefault="006D0255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В К</w:t>
      </w:r>
      <w:r w:rsidR="00434437">
        <w:rPr>
          <w:rFonts w:ascii="Times New Roman" w:hAnsi="Times New Roman" w:cs="Times New Roman"/>
          <w:color w:val="000000"/>
          <w:sz w:val="26"/>
          <w:szCs w:val="26"/>
        </w:rPr>
        <w:t>азенном образовательном учреждении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Ханты-Мансийского автономного округа - Югры «Нефтеюганская школа-интернат для обучающихся с ограниченн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ми возможностями здоровья» обучаются 8 учащихся из Нефтеюганского района. Из них 6 человек в возрасте до 18 лет.</w:t>
      </w:r>
    </w:p>
    <w:p w:rsidR="00CC03F2" w:rsidRPr="00CC03F2" w:rsidRDefault="006D0255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Находятся на стационарном обслуживании в курируемых Управлением </w:t>
      </w:r>
      <w:proofErr w:type="gramStart"/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циальной</w:t>
      </w:r>
      <w:proofErr w:type="gramEnd"/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защиты населения по г.Нефтеюганску и Нефтеюганскому району </w:t>
      </w:r>
      <w:r w:rsidR="00434437" w:rsidRPr="00CC03F2">
        <w:rPr>
          <w:rFonts w:ascii="Times New Roman" w:hAnsi="Times New Roman" w:cs="Times New Roman"/>
          <w:color w:val="000000"/>
          <w:sz w:val="26"/>
          <w:szCs w:val="26"/>
        </w:rPr>
        <w:t>учр</w:t>
      </w:r>
      <w:r w:rsidR="00434437" w:rsidRPr="00CC03F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34437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ждениях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3 ребенка из Нефтеюганского района.</w:t>
      </w:r>
    </w:p>
    <w:p w:rsidR="00CC03F2" w:rsidRPr="00CC03F2" w:rsidRDefault="006D0255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proofErr w:type="gramStart"/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По данным комитета по делам народов Севера, охраны окружающей среды и водных ресурсов детей школьного возраста обучающихся в общеобразовател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ных организациях, зарегистрированных и фактически проживающих на юртах Нефте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юганского района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17 челов</w:t>
      </w:r>
      <w:r>
        <w:rPr>
          <w:rFonts w:ascii="Times New Roman" w:hAnsi="Times New Roman" w:cs="Times New Roman"/>
          <w:color w:val="000000"/>
          <w:sz w:val="26"/>
          <w:szCs w:val="26"/>
        </w:rPr>
        <w:t>ек, и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з них получают образование в филиале МБОУ «Нижнесортымская СОШ» «Каюковская НШ»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C03F2" w:rsidRPr="00CC03F2">
        <w:rPr>
          <w:rFonts w:ascii="Times New Roman" w:hAnsi="Times New Roman" w:cs="Times New Roman"/>
          <w:color w:val="000000"/>
          <w:sz w:val="26"/>
          <w:szCs w:val="26"/>
        </w:rPr>
        <w:t>4 чел.; в МБОУ «Угутская СОШ» - 11 чел.; в МБОУ «Ляминская СОШ» - 2 чел.</w:t>
      </w:r>
      <w:proofErr w:type="gramEnd"/>
    </w:p>
    <w:p w:rsidR="00CC03F2" w:rsidRDefault="00CC03F2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3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proofErr w:type="gramStart"/>
      <w:r w:rsidRPr="00CC03F2">
        <w:rPr>
          <w:rFonts w:ascii="Times New Roman" w:hAnsi="Times New Roman" w:cs="Times New Roman"/>
          <w:color w:val="000000"/>
          <w:sz w:val="26"/>
          <w:szCs w:val="26"/>
        </w:rPr>
        <w:t>В период с 29 августа 2018 года по 28 сентября 2018 года департаментом образования и молодежной политики Нефтеюганского района была организована работа прямой телефонной линии по вопросам предоставления каждому ребёнку права на общее образование, на объявленную прямую телефонную линию по в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просам обеспечения гарантий прав граждан на образование в Департамент образ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вания и молодёжной политики поступило 9 обращений, связанных с зачислением в</w:t>
      </w:r>
      <w:proofErr w:type="gramEnd"/>
      <w:r w:rsidRPr="00CC03F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образовательную организацию, в том числе через портал государственных услуг.</w:t>
      </w:r>
      <w:r w:rsidR="006D02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По всем обращениям даны разъяснения и решены вопросы с организацией обуч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C03F2">
        <w:rPr>
          <w:rFonts w:ascii="Times New Roman" w:hAnsi="Times New Roman" w:cs="Times New Roman"/>
          <w:color w:val="000000"/>
          <w:sz w:val="26"/>
          <w:szCs w:val="26"/>
        </w:rPr>
        <w:t>ния.</w:t>
      </w:r>
    </w:p>
    <w:p w:rsidR="00434437" w:rsidRDefault="00434437" w:rsidP="00CC0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 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целью предупреждения чрезвычайных происшествий с несовершенноле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 xml:space="preserve">ними с </w:t>
      </w:r>
      <w:r>
        <w:rPr>
          <w:rFonts w:ascii="Times New Roman" w:hAnsi="Times New Roman" w:cs="Times New Roman"/>
          <w:color w:val="000000"/>
          <w:sz w:val="26"/>
          <w:szCs w:val="26"/>
        </w:rPr>
        <w:t>1 июня по 30 сентября на территории района была организована ежегодная горячая линия «Опасная площадка», в течение периода действия горячей линии на неё поступило 3 обращения от жителей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 xml:space="preserve"> гп. Пойковский (2), сп. Салым (1). Все о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ращения были отработаны в кротчайшие сроки. Фактов травмирования детей на дворовых площадках в поселениях района по причине неисправности оборудов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00B5E">
        <w:rPr>
          <w:rFonts w:ascii="Times New Roman" w:hAnsi="Times New Roman" w:cs="Times New Roman"/>
          <w:color w:val="000000"/>
          <w:sz w:val="26"/>
          <w:szCs w:val="26"/>
        </w:rPr>
        <w:t>ния в летний период 2018 года не зарегистрировано.</w:t>
      </w:r>
    </w:p>
    <w:p w:rsidR="00BC2D4D" w:rsidRPr="0012208E" w:rsidRDefault="00822D0F" w:rsidP="00822D0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5034B" w:rsidRPr="001220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</w:t>
      </w:r>
      <w:r w:rsidR="0031520E" w:rsidRPr="0012208E">
        <w:rPr>
          <w:rFonts w:ascii="Times New Roman" w:hAnsi="Times New Roman" w:cs="Times New Roman"/>
          <w:sz w:val="26"/>
          <w:szCs w:val="26"/>
        </w:rPr>
        <w:t>е</w:t>
      </w:r>
      <w:r w:rsidR="00BC2D4D" w:rsidRPr="0012208E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12208E">
        <w:rPr>
          <w:rFonts w:ascii="Times New Roman" w:hAnsi="Times New Roman" w:cs="Times New Roman"/>
          <w:sz w:val="26"/>
          <w:szCs w:val="26"/>
        </w:rPr>
        <w:t>р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12208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12208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01535" w:rsidRPr="00C01535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5ABA" w:rsidRPr="00DC358C" w:rsidRDefault="004E6E55" w:rsidP="00C5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1535">
        <w:rPr>
          <w:rFonts w:ascii="Times New Roman" w:hAnsi="Times New Roman" w:cs="Times New Roman"/>
          <w:sz w:val="25"/>
          <w:szCs w:val="25"/>
        </w:rPr>
        <w:tab/>
      </w:r>
      <w:r w:rsidR="0052223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52223C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52223C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об</w:t>
      </w:r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итогах проведения межведомственной профилактич</w:t>
      </w:r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ской операции «Подросток» </w:t>
      </w:r>
      <w:proofErr w:type="gramStart"/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="00C52941" w:rsidRP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 в 2018 году</w:t>
      </w:r>
      <w:r w:rsidR="00C52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нию.</w:t>
      </w:r>
    </w:p>
    <w:p w:rsidR="00945ABA" w:rsidRPr="00DC358C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AB127A" w:rsidRPr="00DC35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октября</w:t>
      </w:r>
      <w:r w:rsidRPr="00DC35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2018 года</w:t>
      </w: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01535" w:rsidRPr="00DC358C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2941" w:rsidRPr="00C52941" w:rsidRDefault="00945ABA" w:rsidP="00C52941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127A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52941" w:rsidRPr="00C52941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C52941" w:rsidRPr="00C52941">
        <w:rPr>
          <w:rFonts w:ascii="Times New Roman" w:eastAsia="Calibri" w:hAnsi="Times New Roman" w:cs="Times New Roman"/>
          <w:sz w:val="26"/>
          <w:szCs w:val="26"/>
        </w:rPr>
        <w:t xml:space="preserve"> Утвердить отчет «О результатах проведения ежегодной межведомстве</w:t>
      </w:r>
      <w:r w:rsidR="00C52941" w:rsidRPr="00C52941">
        <w:rPr>
          <w:rFonts w:ascii="Times New Roman" w:eastAsia="Calibri" w:hAnsi="Times New Roman" w:cs="Times New Roman"/>
          <w:sz w:val="26"/>
          <w:szCs w:val="26"/>
        </w:rPr>
        <w:t>н</w:t>
      </w:r>
      <w:r w:rsidR="00C52941" w:rsidRPr="00C52941">
        <w:rPr>
          <w:rFonts w:ascii="Times New Roman" w:eastAsia="Calibri" w:hAnsi="Times New Roman" w:cs="Times New Roman"/>
          <w:sz w:val="26"/>
          <w:szCs w:val="26"/>
        </w:rPr>
        <w:t>ной профилактической операции «Подросток» (приложение).</w:t>
      </w:r>
    </w:p>
    <w:p w:rsidR="00C52941" w:rsidRDefault="00C52941" w:rsidP="00C52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52941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C52941">
        <w:rPr>
          <w:rFonts w:ascii="Times New Roman" w:eastAsia="Calibri" w:hAnsi="Times New Roman" w:cs="Times New Roman"/>
          <w:b/>
          <w:sz w:val="26"/>
          <w:szCs w:val="26"/>
          <w:u w:val="single"/>
        </w:rPr>
        <w:t>25 октября 2018 года</w:t>
      </w:r>
      <w:r w:rsidRPr="00C5294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00B5E" w:rsidRPr="00C52941" w:rsidRDefault="00500B5E" w:rsidP="00C52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2941" w:rsidRPr="00C52941" w:rsidRDefault="00C52941" w:rsidP="00C52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941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C52941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C52941">
        <w:rPr>
          <w:rFonts w:ascii="Times New Roman" w:eastAsia="Calibri" w:hAnsi="Times New Roman" w:cs="Times New Roman"/>
          <w:sz w:val="26"/>
          <w:szCs w:val="26"/>
        </w:rPr>
        <w:t>й</w:t>
      </w:r>
      <w:r w:rsidRPr="00C52941">
        <w:rPr>
          <w:rFonts w:ascii="Times New Roman" w:eastAsia="Calibri" w:hAnsi="Times New Roman" w:cs="Times New Roman"/>
          <w:sz w:val="26"/>
          <w:szCs w:val="26"/>
        </w:rPr>
        <w:t>она (Н.В.Котова) обеспечить проведение мониторинга постшкольного сопрово</w:t>
      </w:r>
      <w:r w:rsidRPr="00C52941">
        <w:rPr>
          <w:rFonts w:ascii="Times New Roman" w:eastAsia="Calibri" w:hAnsi="Times New Roman" w:cs="Times New Roman"/>
          <w:sz w:val="26"/>
          <w:szCs w:val="26"/>
        </w:rPr>
        <w:t>ж</w:t>
      </w:r>
      <w:r w:rsidRPr="00C52941">
        <w:rPr>
          <w:rFonts w:ascii="Times New Roman" w:eastAsia="Calibri" w:hAnsi="Times New Roman" w:cs="Times New Roman"/>
          <w:sz w:val="26"/>
          <w:szCs w:val="26"/>
        </w:rPr>
        <w:t>дения выпускников общеобразовательных организаций, в том числе выбывающих учащихся из 10 класса</w:t>
      </w:r>
      <w:r w:rsidRPr="00C529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52941" w:rsidRPr="00C52941" w:rsidRDefault="00C52941" w:rsidP="00C52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C529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Срок: </w:t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05 февраля 2019 года</w:t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C52941" w:rsidRPr="00C52941" w:rsidRDefault="00C52941" w:rsidP="00C52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C52941" w:rsidRPr="00C52941" w:rsidRDefault="00C52941" w:rsidP="00C52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94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  <w:t xml:space="preserve"> 4.</w:t>
      </w:r>
      <w:r w:rsidRPr="00C52941">
        <w:rPr>
          <w:rFonts w:ascii="Calibri" w:eastAsia="Calibri" w:hAnsi="Calibri" w:cs="Times New Roman"/>
          <w:sz w:val="26"/>
          <w:szCs w:val="26"/>
        </w:rPr>
        <w:t xml:space="preserve"> 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Рекомендовать 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тделу Министерства внутренних дел 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России по Нефт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юганскому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(Г.П.Джусоев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 организовать дополнительные мероприятия по выявлению несовершеннолетних в ночное время, находящихся без присмотра р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дителей (законных представителей).</w:t>
      </w:r>
    </w:p>
    <w:p w:rsidR="00C52941" w:rsidRPr="00C52941" w:rsidRDefault="00C52941" w:rsidP="00C5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9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2018 года</w:t>
      </w:r>
      <w:r w:rsidRPr="00C5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B127A" w:rsidRPr="00DC358C" w:rsidRDefault="00C52941" w:rsidP="00C5294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6C6A" w:rsidRPr="00DC358C" w:rsidRDefault="006E6C6A" w:rsidP="006E6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52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C3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C01535" w:rsidRPr="00DC358C" w:rsidRDefault="00C01535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3D21" w:rsidRPr="00DC358C" w:rsidRDefault="00C52941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0A9DA7D" wp14:editId="6F2FD2DC">
            <wp:simplePos x="0" y="0"/>
            <wp:positionH relativeFrom="column">
              <wp:posOffset>1929765</wp:posOffset>
            </wp:positionH>
            <wp:positionV relativeFrom="paragraph">
              <wp:posOffset>51435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5034B" w:rsidRPr="00DC358C" w:rsidRDefault="00610E7F" w:rsidP="006E6C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143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DC358C">
        <w:rPr>
          <w:rFonts w:ascii="Times New Roman" w:hAnsi="Times New Roman" w:cs="Times New Roman"/>
          <w:sz w:val="26"/>
          <w:szCs w:val="26"/>
        </w:rPr>
        <w:t xml:space="preserve"> 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p w:rsidR="00C52941" w:rsidRDefault="00C52941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2941" w:rsidRPr="00500B5E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00B5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C52941" w:rsidRPr="00500B5E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00B5E">
        <w:rPr>
          <w:rFonts w:ascii="Times New Roman" w:eastAsia="Times New Roman" w:hAnsi="Times New Roman" w:cs="Times New Roman"/>
          <w:b/>
          <w:lang w:eastAsia="ru-RU"/>
        </w:rPr>
        <w:t>ТКДН и ЗП Нефтеюганского района</w:t>
      </w:r>
    </w:p>
    <w:p w:rsidR="00C52941" w:rsidRPr="00500B5E" w:rsidRDefault="00C52941" w:rsidP="00C52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00B5E">
        <w:rPr>
          <w:rFonts w:ascii="Times New Roman" w:eastAsia="Times New Roman" w:hAnsi="Times New Roman" w:cs="Times New Roman"/>
          <w:b/>
          <w:lang w:eastAsia="ru-RU"/>
        </w:rPr>
        <w:t xml:space="preserve">№66 от 25.10.2018  </w:t>
      </w:r>
    </w:p>
    <w:p w:rsidR="00C52941" w:rsidRPr="00C52941" w:rsidRDefault="00C52941" w:rsidP="00C5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941" w:rsidRPr="00500B5E" w:rsidRDefault="00C52941" w:rsidP="00C5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«О результатах проведения </w:t>
      </w:r>
      <w:proofErr w:type="gramStart"/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proofErr w:type="gramEnd"/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межведомственной</w:t>
      </w:r>
    </w:p>
    <w:p w:rsidR="00C52941" w:rsidRPr="00500B5E" w:rsidRDefault="00C52941" w:rsidP="00C5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операции «Подросток»»</w:t>
      </w:r>
    </w:p>
    <w:p w:rsidR="00C52941" w:rsidRPr="00500B5E" w:rsidRDefault="00C52941" w:rsidP="00C5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Нефтеюганский район</w:t>
      </w: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июнь-сентябрь</w:t>
      </w:r>
      <w:r w:rsidRPr="00500B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2018 года</w:t>
      </w:r>
    </w:p>
    <w:p w:rsidR="00C52941" w:rsidRPr="00C52941" w:rsidRDefault="00C52941" w:rsidP="00C529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(муниципальное образование)                 (период)</w:t>
      </w:r>
    </w:p>
    <w:p w:rsidR="00C52941" w:rsidRPr="00C52941" w:rsidRDefault="00C52941" w:rsidP="00C5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6484"/>
        <w:gridCol w:w="55"/>
        <w:gridCol w:w="2067"/>
      </w:tblGrid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Исследуемый параметр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Статистические данные (колич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ство)</w:t>
            </w:r>
          </w:p>
        </w:tc>
      </w:tr>
      <w:tr w:rsidR="00C52941" w:rsidRPr="00500B5E" w:rsidTr="00C529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Семьи, находящиеся в социально опасном положении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Количество семей,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социально опасном п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ложении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(по состоянию на последний день отчетного периода), в том числе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выявлено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утвержденных индивидуальных программ соц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альной реабилитации семей, находящихся в социально опасном положении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 xml:space="preserve">(по состоянию на последний день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отчетного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родителей (законных представителей), наход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я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щихся в социально опасном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(по состоянию на последний день отчетного периода), во вновь выявленных семьях,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52/13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не работают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24/6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состоят на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учете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Центре занятости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rPr>
          <w:trHeight w:val="7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28/6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родителей (законных представителей), огран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ченных в родительских правах, из общего количества род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1(1)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родителей (законных представителей), лише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нии которых родители лишены прав)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родителей (законных представителей), восст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новленных в родительских правах, из общего количества родителей, проживающих в семьях, находящихся в соц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ально опасном положении (в скобках указать количество детей, в отношении которых родители восстановлены в 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дительских правах)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Количество семей,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которых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социально опасное положение устранено по причине нормализации ситуации (исправление родителей, выполнение родителями (законными представ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телями) должным образом родительских обязанностей по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воспитанию, содержанию, обучению, защите прав и зако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интересов детей)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                   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/проживающих во вновь выявле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семьях,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68/14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16/4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Дети в возрасте до 7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23/4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45/7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посещают детский сад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14/3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не учатся, не работают в возрасте от 7 до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состоят на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учете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Центре занятости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временно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Оздоровлены (посещали в отчетном периоде детские озд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ровительные лагеря, загородные оздоровительные лагеря, лагеря дневного пребывания, специализированные (пр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фильные) лагеря (палаточные лагеря, лагеря труда и отд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ы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ха), медицинские оздоровительные центры, базы компле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сы)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Занимаются в кружках, спортивных секциях, клубах, об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ъ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единениях дополнительного образования детей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помещено в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специальное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учебно-воспитательное учрежд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ние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направлено в воспитательную колонию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помещены в центр временного содержания для несоверше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нолетних правонарушителей органов внутренних дел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суицид/суицидальную попытку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из семьи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из государственного учреждения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в отчетном периоде: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административных правонарушений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преступлений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антиобщественных действий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чине нормализации ситуации (исправление родителей, 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ы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полнение родителями (законными представителями) дол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ж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C52941" w:rsidRPr="00500B5E" w:rsidTr="00C529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Несовершеннолетние, в отношении которых проводится индивидуальная профилакт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ческая работа в соответствии со статьями 5, 6 Федерального закона Российской Фед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рации от 24 июня 1999 года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16/9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состоят на профилактическом учете в территориальном 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гане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внутренних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16/9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безнадзорные, беспризорные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занимаются бродяжничеством,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содержатся в социально-реабилитационных центрах для несовершеннолетних, в социальных приютах, центрах п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мощи детям, оставшимся без попечения родителей, в других учреждениях для несовершеннолетних, нуждающихся в с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циальной помощи и (или) реабилитации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наркотические средства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психотропные вещества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одурманивающие вещества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употребляют алкогольную и спиртосодержащую проду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цию, пиво и напитки, изготавливаемые на его основе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3/0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правонарушение до достижения возраста, с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торого наступает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административная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ответственность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летнего может быть достигнуто путем применения </w:t>
            </w:r>
            <w:hyperlink r:id="rId9" w:history="1">
              <w:r w:rsidRPr="00500B5E">
                <w:rPr>
                  <w:rFonts w:eastAsia="Calibri"/>
                  <w:sz w:val="24"/>
                  <w:szCs w:val="24"/>
                  <w:lang w:eastAsia="ru-RU"/>
                </w:rPr>
                <w:t>прин</w:t>
              </w:r>
              <w:r w:rsidRPr="00500B5E">
                <w:rPr>
                  <w:rFonts w:eastAsia="Calibri"/>
                  <w:sz w:val="24"/>
                  <w:szCs w:val="24"/>
                  <w:lang w:eastAsia="ru-RU"/>
                </w:rPr>
                <w:t>у</w:t>
              </w:r>
              <w:r w:rsidRPr="00500B5E">
                <w:rPr>
                  <w:rFonts w:eastAsia="Calibri"/>
                  <w:sz w:val="24"/>
                  <w:szCs w:val="24"/>
                  <w:lang w:eastAsia="ru-RU"/>
                </w:rPr>
                <w:t>дительных мер</w:t>
              </w:r>
            </w:hyperlink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совершили общественно опасное деяние и не подлежат уг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ловной ответственности в связи с недостижением возраста, с которого наступает уголовная ответственность, или всле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ствие отставания в психическом развитии, не связанного с психическим расстройством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обвиняются или подозреваются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совершении преступл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ний, в отношении которых избраны меры пресечения, предусмотренные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УПК Российской Федерации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1/1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осужденным к мерам наказания, не связанным с лишением свободы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освобождены в отчетном периоде из учреждений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уголовно-исполнительной системы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осуждены за совершение </w:t>
            </w:r>
            <w:hyperlink r:id="rId10" w:history="1">
              <w:r w:rsidRPr="00500B5E">
                <w:rPr>
                  <w:rFonts w:eastAsia="Calibri"/>
                  <w:sz w:val="24"/>
                  <w:szCs w:val="24"/>
                  <w:lang w:eastAsia="ru-RU"/>
                </w:rPr>
                <w:t>преступления</w:t>
              </w:r>
            </w:hyperlink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500B5E">
                <w:rPr>
                  <w:rFonts w:eastAsia="Calibri"/>
                  <w:sz w:val="24"/>
                  <w:szCs w:val="24"/>
                  <w:lang w:eastAsia="ru-RU"/>
                </w:rPr>
                <w:t>принудительных мер</w:t>
              </w:r>
            </w:hyperlink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воспитательного возде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Иное</w:t>
            </w:r>
          </w:p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- уголовное дело прекращено на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ст.25.1 УПК РФ</w:t>
            </w:r>
          </w:p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- ходатайство ОМВД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2/1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1/1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15/9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вернувшиеся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воспитательных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не учатся, не работают,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вернувшиеся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воспитательных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состоят на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учете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Центре занятости, их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вернувшиеся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воспитательных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0/0</w:t>
            </w:r>
          </w:p>
        </w:tc>
      </w:tr>
      <w:tr w:rsidR="00C52941" w:rsidRPr="00500B5E" w:rsidTr="00C52941">
        <w:trPr>
          <w:trHeight w:val="219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трудоустроены: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временно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из числа вернувшихся несовершеннолетних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 в 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четном периоде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из числа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освобожденных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несовершеннолетних из воспит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тельной колонии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3.24.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Оздоровлены (посещали в отчетном периоде детские озд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ровительные лагеря, загородные оздоровительные лагеря, лагеря дневного пребывания, специализированные (пр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фильные) лагеря (палаточные лагеря, лагеря труда и отд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ы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ха), медицинские оздоровительные центры, базы компле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сы),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вернувшиеся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воспитательных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3.25.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занимаются в кружках, спортивных секциях, клубах, об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ъ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единениях дополнительного образования детей,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вернувшиеся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специальных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освобожденные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из воспитательных 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помещены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 отчетном периоде в воспитательную колонию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помещены в отчетном периоде в центр временного соде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Заслушано несовершеннолетних в отчетном периоде на з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седании территориальной комиссии по делам несоверше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нолетних и защите их прав, из них по причине совершения: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самовольный уход из семьи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самовольный уход из государственного учреждения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административные правонарушения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преступления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антиобщественного действия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rPr>
          <w:trHeight w:val="518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иное (перечислить причины с указанием соответствующих статистических данных)</w:t>
            </w:r>
          </w:p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- в связи с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не достижением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возраста привлечения к админ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стративной ответственности (по ст.20.22 КоАП РФ, упра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ление ТС)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8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8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52941" w:rsidRPr="00500B5E" w:rsidTr="00C52941">
        <w:trPr>
          <w:trHeight w:val="43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  <w:r w:rsidRPr="00500B5E">
              <w:rPr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Заслушано вопросов по оказанию помощи несовершенн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летним, совершившим суицидальные попытки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rPr>
          <w:trHeight w:val="182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суицидальных попыток/суицид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rPr>
          <w:trHeight w:val="228"/>
        </w:trPr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  <w:r w:rsidRPr="00500B5E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Выявлено несовершеннолетних не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приступивших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к обуч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утвержденных индивидуальных программ соц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альной реабилитации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отчетного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Пролечено несовершеннолетних от алкогольной зависим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Пролечено несовершеннолетних от наркотической (токс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ческой, иной)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несовершеннолетних, в отношение которых з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вершено проведение индивидуальной профилактической работы,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 причине исправления поведения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 причине достижения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Административная практика 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рассмотренных протоколов об администрати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правонарушениях, их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70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составлены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69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составлены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иными лицами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возвращены в орган, должностному лицу, которые состав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ли протокол в порядке подпункта 4 пункта 1 статьи 29.4 КоАП РФ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принято решение о назначении административного наказ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57</w:t>
            </w:r>
          </w:p>
        </w:tc>
      </w:tr>
      <w:tr w:rsidR="00C52941" w:rsidRPr="00500B5E" w:rsidTr="00C52941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прекращены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по причине: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истечение срока привлечения к административной отве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Иное: переданы по подведомственности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рассмотренных протоколов об администрати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правонарушениях в отношении родителей (законных представителей),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56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перечислить статьи КоАП РФ или Закона ХМАО – Югры от 11.06.2010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№ 102-оз «Об административных правонарушениях» с ук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lastRenderedPageBreak/>
              <w:t>ч.1 ст.5.35 КоАП РФ-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>43</w:t>
            </w:r>
          </w:p>
          <w:p w:rsidR="00C52941" w:rsidRPr="00500B5E" w:rsidRDefault="00C52941" w:rsidP="00C52941">
            <w:pPr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>ст.20.22 КоАП РФ -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>12</w:t>
            </w:r>
          </w:p>
          <w:p w:rsidR="00C52941" w:rsidRPr="00500B5E" w:rsidRDefault="00C52941" w:rsidP="00C52941">
            <w:pPr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 xml:space="preserve">ч.2 ст.6.10 КоАП РФ 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lastRenderedPageBreak/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рассмотренных протоколов об администрати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правонарушениях в отношении несовершеннолетних,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>4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перечислить статьи КоАП РФ или Закона ХМАО – Югры от 11.06.2010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№ 102-оз «Об административных правонарушениях» с ук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 xml:space="preserve">ст.6.1.1 КоАП РФ – 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>1</w:t>
            </w:r>
          </w:p>
          <w:p w:rsidR="00C52941" w:rsidRPr="00500B5E" w:rsidRDefault="00C52941" w:rsidP="00C52941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>ч.1 ст.6.24 КоАП РФ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 xml:space="preserve"> – 1</w:t>
            </w:r>
          </w:p>
          <w:p w:rsidR="00C52941" w:rsidRPr="00500B5E" w:rsidRDefault="00C52941" w:rsidP="00C52941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>ч.4 ст.9.30 КоАП РФ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 xml:space="preserve"> - 1</w:t>
            </w:r>
          </w:p>
          <w:p w:rsidR="00C52941" w:rsidRPr="00500B5E" w:rsidRDefault="00C52941" w:rsidP="00C52941">
            <w:pPr>
              <w:rPr>
                <w:rFonts w:eastAsia="Calibri"/>
                <w:sz w:val="18"/>
                <w:szCs w:val="18"/>
                <w:lang w:eastAsia="ru-RU"/>
              </w:rPr>
            </w:pPr>
            <w:r w:rsidRPr="00500B5E">
              <w:rPr>
                <w:rFonts w:eastAsia="Calibri"/>
                <w:sz w:val="18"/>
                <w:szCs w:val="18"/>
                <w:lang w:eastAsia="ru-RU"/>
              </w:rPr>
              <w:t>ч.1 ст.20.20 КоАП РФ</w:t>
            </w:r>
            <w:r w:rsidRPr="00500B5E">
              <w:rPr>
                <w:rFonts w:eastAsia="Calibri"/>
                <w:b/>
                <w:sz w:val="18"/>
                <w:szCs w:val="18"/>
                <w:lang w:eastAsia="ru-RU"/>
              </w:rPr>
              <w:t xml:space="preserve"> -1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рассмотренных протоколов об администрати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ных правонарушениях в отношении граждан, должностных лиц,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Pr="00500B5E" w:rsidRDefault="00C52941" w:rsidP="00C529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перечислить статьи КоАП РФ или Закона ХМАО – Югры от 11.06.2010 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br/>
              <w:t>№ 102-оз «Об административных правонарушениях» с ук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Совершено несовершеннолетними из числа </w:t>
            </w:r>
          </w:p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b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00B5E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 социально опасном положении (июнь-август)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Преступлений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участников преступлений, из них,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охвачены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Административных правонарушений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с употреблением алкогольной продукции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Связанных с употреблением наркотических средств и псих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500B5E">
              <w:rPr>
                <w:rFonts w:eastAsia="Calibri"/>
                <w:sz w:val="24"/>
                <w:szCs w:val="24"/>
                <w:lang w:eastAsia="ru-RU"/>
              </w:rPr>
              <w:t>тропных веществ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участников административных правонарушений, из 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rPr>
          <w:trHeight w:val="1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охвачены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Общественно-опасных деяний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участников общественно-опасных деяний, из них</w:t>
            </w:r>
          </w:p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охвачены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Самовольных уходов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Количество участников самовольных уходов, из 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0B5E">
              <w:rPr>
                <w:rFonts w:eastAsia="Calibri"/>
                <w:sz w:val="24"/>
                <w:szCs w:val="24"/>
                <w:lang w:eastAsia="ru-RU"/>
              </w:rPr>
              <w:t>Охвачены</w:t>
            </w:r>
            <w:proofErr w:type="gramEnd"/>
            <w:r w:rsidRPr="00500B5E">
              <w:rPr>
                <w:rFonts w:eastAsia="Calibri"/>
                <w:sz w:val="24"/>
                <w:szCs w:val="24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Суицидальных попыток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52941" w:rsidRPr="00500B5E" w:rsidTr="00C52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Суицидов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Pr="00500B5E" w:rsidRDefault="00C52941" w:rsidP="00C529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0B5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</w:tbl>
    <w:p w:rsidR="00C52941" w:rsidRPr="00500B5E" w:rsidRDefault="00C52941" w:rsidP="00C52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41" w:rsidRPr="00500B5E" w:rsidRDefault="00C52941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2941" w:rsidRPr="00500B5E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24807"/>
    <w:rsid w:val="00434437"/>
    <w:rsid w:val="00460586"/>
    <w:rsid w:val="004968B2"/>
    <w:rsid w:val="004A342C"/>
    <w:rsid w:val="004B4D36"/>
    <w:rsid w:val="004C4A20"/>
    <w:rsid w:val="004E0CCD"/>
    <w:rsid w:val="004E6E55"/>
    <w:rsid w:val="00500B5E"/>
    <w:rsid w:val="0052223C"/>
    <w:rsid w:val="00522242"/>
    <w:rsid w:val="00551A44"/>
    <w:rsid w:val="00600142"/>
    <w:rsid w:val="00610E7F"/>
    <w:rsid w:val="00650578"/>
    <w:rsid w:val="00665C0A"/>
    <w:rsid w:val="006C36DF"/>
    <w:rsid w:val="006D0255"/>
    <w:rsid w:val="006E6C6A"/>
    <w:rsid w:val="00740839"/>
    <w:rsid w:val="007442D9"/>
    <w:rsid w:val="0075034B"/>
    <w:rsid w:val="00795265"/>
    <w:rsid w:val="008043F8"/>
    <w:rsid w:val="008105F1"/>
    <w:rsid w:val="0082001D"/>
    <w:rsid w:val="008221A6"/>
    <w:rsid w:val="00822D0F"/>
    <w:rsid w:val="00825703"/>
    <w:rsid w:val="00860B4F"/>
    <w:rsid w:val="008D062B"/>
    <w:rsid w:val="009045AC"/>
    <w:rsid w:val="009446F1"/>
    <w:rsid w:val="00945ABA"/>
    <w:rsid w:val="00953D21"/>
    <w:rsid w:val="00985534"/>
    <w:rsid w:val="009F2736"/>
    <w:rsid w:val="00A97BA5"/>
    <w:rsid w:val="00AB127A"/>
    <w:rsid w:val="00AD608E"/>
    <w:rsid w:val="00B10DAA"/>
    <w:rsid w:val="00B57E9E"/>
    <w:rsid w:val="00B81C0B"/>
    <w:rsid w:val="00B93667"/>
    <w:rsid w:val="00BC2D4D"/>
    <w:rsid w:val="00BE3EBB"/>
    <w:rsid w:val="00C01535"/>
    <w:rsid w:val="00C2103F"/>
    <w:rsid w:val="00C23439"/>
    <w:rsid w:val="00C34BC1"/>
    <w:rsid w:val="00C52941"/>
    <w:rsid w:val="00C84EEA"/>
    <w:rsid w:val="00C97812"/>
    <w:rsid w:val="00CC03F2"/>
    <w:rsid w:val="00CE3814"/>
    <w:rsid w:val="00D368D0"/>
    <w:rsid w:val="00D412E9"/>
    <w:rsid w:val="00D63C9F"/>
    <w:rsid w:val="00D920E8"/>
    <w:rsid w:val="00DA11F8"/>
    <w:rsid w:val="00DB5ABF"/>
    <w:rsid w:val="00DC358C"/>
    <w:rsid w:val="00DD404B"/>
    <w:rsid w:val="00E51A7C"/>
    <w:rsid w:val="00E53097"/>
    <w:rsid w:val="00E62279"/>
    <w:rsid w:val="00E94AD6"/>
    <w:rsid w:val="00E971FB"/>
    <w:rsid w:val="00EB5922"/>
    <w:rsid w:val="00EB783D"/>
    <w:rsid w:val="00EE1DC8"/>
    <w:rsid w:val="00EE4143"/>
    <w:rsid w:val="00EF26A9"/>
    <w:rsid w:val="00F0167B"/>
    <w:rsid w:val="00F20716"/>
    <w:rsid w:val="00F6797E"/>
    <w:rsid w:val="00F81AA7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rsid w:val="00C5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rsid w:val="00C5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4BA1-9705-4F8E-A7AF-2773FF00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2018-10-29T09:26:00Z</cp:lastPrinted>
  <dcterms:created xsi:type="dcterms:W3CDTF">2018-10-29T06:25:00Z</dcterms:created>
  <dcterms:modified xsi:type="dcterms:W3CDTF">2018-10-29T09:31:00Z</dcterms:modified>
</cp:coreProperties>
</file>