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89" w:rsidRPr="004A46AD" w:rsidRDefault="00A97D89" w:rsidP="00A97D89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A46A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282482E7" wp14:editId="1BBEAED6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89" w:rsidRPr="004A46AD" w:rsidRDefault="00A97D89" w:rsidP="00A97D89">
      <w:pPr>
        <w:spacing w:after="0" w:line="240" w:lineRule="auto"/>
        <w:jc w:val="center"/>
        <w:rPr>
          <w:rFonts w:ascii="Arial" w:hAnsi="Arial" w:cs="Arial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A46AD">
        <w:rPr>
          <w:rFonts w:ascii="Times New Roman" w:hAnsi="Times New Roman"/>
          <w:b/>
          <w:sz w:val="32"/>
          <w:szCs w:val="32"/>
        </w:rPr>
        <w:t xml:space="preserve">ПОСТАНОВЛЕНИЕ № </w:t>
      </w:r>
      <w:r w:rsidR="00635582">
        <w:rPr>
          <w:rFonts w:ascii="Times New Roman" w:hAnsi="Times New Roman"/>
          <w:b/>
          <w:sz w:val="32"/>
          <w:szCs w:val="32"/>
        </w:rPr>
        <w:t>93</w:t>
      </w:r>
    </w:p>
    <w:p w:rsidR="00A97D89" w:rsidRPr="004A46AD" w:rsidRDefault="00A97D89" w:rsidP="00A97D89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</w:t>
      </w:r>
      <w:r w:rsidR="00635582">
        <w:rPr>
          <w:rFonts w:ascii="Times New Roman" w:hAnsi="Times New Roman"/>
          <w:sz w:val="26"/>
          <w:szCs w:val="26"/>
        </w:rPr>
        <w:t>08 ноября</w:t>
      </w:r>
      <w:r w:rsidRPr="004A46AD">
        <w:rPr>
          <w:rFonts w:ascii="Times New Roman" w:hAnsi="Times New Roman"/>
          <w:sz w:val="26"/>
          <w:szCs w:val="26"/>
        </w:rPr>
        <w:t xml:space="preserve"> 2016 года, 10 – 15 ч. 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4A46AD">
        <w:rPr>
          <w:rFonts w:ascii="Times New Roman" w:hAnsi="Times New Roman"/>
          <w:sz w:val="26"/>
          <w:szCs w:val="26"/>
        </w:rPr>
        <w:t>каб</w:t>
      </w:r>
      <w:proofErr w:type="spellEnd"/>
      <w:r w:rsidRPr="004A46AD">
        <w:rPr>
          <w:rFonts w:ascii="Times New Roman" w:hAnsi="Times New Roman"/>
          <w:sz w:val="26"/>
          <w:szCs w:val="26"/>
        </w:rPr>
        <w:t>. 430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A46AD">
        <w:rPr>
          <w:rFonts w:ascii="Times New Roman" w:hAnsi="Times New Roman"/>
          <w:sz w:val="26"/>
          <w:szCs w:val="26"/>
        </w:rPr>
        <w:t xml:space="preserve">(сведения об участниках заседания указаны в протоколе </w:t>
      </w:r>
      <w:r w:rsidRPr="00635582">
        <w:rPr>
          <w:rFonts w:ascii="Times New Roman" w:hAnsi="Times New Roman"/>
          <w:sz w:val="26"/>
          <w:szCs w:val="26"/>
        </w:rPr>
        <w:t>№</w:t>
      </w:r>
      <w:r w:rsidR="00635582" w:rsidRPr="00635582">
        <w:rPr>
          <w:rFonts w:ascii="Times New Roman" w:hAnsi="Times New Roman"/>
          <w:sz w:val="26"/>
          <w:szCs w:val="26"/>
        </w:rPr>
        <w:t>44</w:t>
      </w:r>
      <w:proofErr w:type="gramEnd"/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A97D89" w:rsidRDefault="00A97D89" w:rsidP="001A780B">
      <w:pPr>
        <w:pStyle w:val="a4"/>
        <w:jc w:val="both"/>
        <w:rPr>
          <w:b/>
          <w:sz w:val="26"/>
          <w:szCs w:val="26"/>
        </w:rPr>
      </w:pPr>
    </w:p>
    <w:p w:rsidR="00635582" w:rsidRPr="00635582" w:rsidRDefault="00635582" w:rsidP="00635582">
      <w:pPr>
        <w:pStyle w:val="a4"/>
        <w:jc w:val="both"/>
        <w:rPr>
          <w:b/>
          <w:sz w:val="26"/>
          <w:szCs w:val="26"/>
        </w:rPr>
      </w:pPr>
      <w:r w:rsidRPr="00635582">
        <w:rPr>
          <w:b/>
          <w:sz w:val="26"/>
          <w:szCs w:val="26"/>
        </w:rPr>
        <w:t xml:space="preserve">О результатах работы школьных служб примирения </w:t>
      </w:r>
    </w:p>
    <w:p w:rsidR="00635582" w:rsidRPr="00635582" w:rsidRDefault="00635582" w:rsidP="00635582">
      <w:pPr>
        <w:pStyle w:val="a4"/>
        <w:jc w:val="both"/>
        <w:rPr>
          <w:b/>
          <w:sz w:val="26"/>
          <w:szCs w:val="26"/>
        </w:rPr>
      </w:pPr>
      <w:r w:rsidRPr="00635582">
        <w:rPr>
          <w:b/>
          <w:sz w:val="26"/>
          <w:szCs w:val="26"/>
        </w:rPr>
        <w:t xml:space="preserve">в общеобразовательных организациях и о применении </w:t>
      </w:r>
    </w:p>
    <w:p w:rsidR="00635582" w:rsidRPr="00635582" w:rsidRDefault="00635582" w:rsidP="00635582">
      <w:pPr>
        <w:pStyle w:val="a4"/>
        <w:jc w:val="both"/>
        <w:rPr>
          <w:b/>
          <w:sz w:val="26"/>
          <w:szCs w:val="26"/>
        </w:rPr>
      </w:pPr>
      <w:r w:rsidRPr="00635582">
        <w:rPr>
          <w:b/>
          <w:sz w:val="26"/>
          <w:szCs w:val="26"/>
        </w:rPr>
        <w:t xml:space="preserve">технологий восстановительного правосудия </w:t>
      </w:r>
    </w:p>
    <w:p w:rsidR="001A780B" w:rsidRDefault="00635582" w:rsidP="00635582">
      <w:pPr>
        <w:pStyle w:val="a4"/>
        <w:jc w:val="both"/>
        <w:rPr>
          <w:b/>
          <w:sz w:val="26"/>
          <w:szCs w:val="26"/>
        </w:rPr>
      </w:pPr>
      <w:r w:rsidRPr="00635582">
        <w:rPr>
          <w:b/>
          <w:sz w:val="26"/>
          <w:szCs w:val="26"/>
        </w:rPr>
        <w:t>на территории Нефтеюганского района</w:t>
      </w:r>
    </w:p>
    <w:p w:rsidR="005F12D8" w:rsidRDefault="005F12D8" w:rsidP="001A780B">
      <w:pPr>
        <w:pStyle w:val="a4"/>
        <w:jc w:val="both"/>
        <w:rPr>
          <w:b/>
          <w:sz w:val="26"/>
          <w:szCs w:val="26"/>
        </w:rPr>
      </w:pPr>
    </w:p>
    <w:p w:rsidR="00BA4697" w:rsidRDefault="00BA4697" w:rsidP="00BA4697">
      <w:pPr>
        <w:pStyle w:val="a4"/>
        <w:ind w:firstLine="708"/>
        <w:jc w:val="both"/>
        <w:rPr>
          <w:rFonts w:eastAsia="Calibri"/>
          <w:sz w:val="25"/>
          <w:szCs w:val="25"/>
        </w:rPr>
      </w:pPr>
      <w:r w:rsidRPr="00473EC1">
        <w:rPr>
          <w:sz w:val="25"/>
          <w:szCs w:val="25"/>
        </w:rPr>
        <w:t>З</w:t>
      </w:r>
      <w:r w:rsidRPr="00473EC1">
        <w:rPr>
          <w:rFonts w:eastAsia="Calibri"/>
          <w:sz w:val="25"/>
          <w:szCs w:val="25"/>
        </w:rPr>
        <w:t>аслушав и обсудив информацию по вопросу, предусмотренному планом раб</w:t>
      </w:r>
      <w:r w:rsidRPr="00473EC1">
        <w:rPr>
          <w:rFonts w:eastAsia="Calibri"/>
          <w:sz w:val="25"/>
          <w:szCs w:val="25"/>
        </w:rPr>
        <w:t>о</w:t>
      </w:r>
      <w:r w:rsidRPr="00473EC1">
        <w:rPr>
          <w:rFonts w:eastAsia="Calibri"/>
          <w:sz w:val="25"/>
          <w:szCs w:val="25"/>
        </w:rPr>
        <w:t>ты территориальной комиссии по делам несовершеннолетних и защите их прав Нефтеюга</w:t>
      </w:r>
      <w:r w:rsidRPr="00473EC1">
        <w:rPr>
          <w:rFonts w:eastAsia="Calibri"/>
          <w:sz w:val="25"/>
          <w:szCs w:val="25"/>
        </w:rPr>
        <w:t>н</w:t>
      </w:r>
      <w:r w:rsidRPr="00473EC1">
        <w:rPr>
          <w:rFonts w:eastAsia="Calibri"/>
          <w:sz w:val="25"/>
          <w:szCs w:val="25"/>
        </w:rPr>
        <w:t>ского района на 2016 год, территориальная комиссия установила:</w:t>
      </w:r>
    </w:p>
    <w:p w:rsidR="00473EC1" w:rsidRPr="00473EC1" w:rsidRDefault="00473EC1" w:rsidP="00BA4697">
      <w:pPr>
        <w:pStyle w:val="a4"/>
        <w:ind w:firstLine="708"/>
        <w:jc w:val="both"/>
        <w:rPr>
          <w:rFonts w:eastAsia="Calibri"/>
          <w:sz w:val="25"/>
          <w:szCs w:val="25"/>
        </w:rPr>
      </w:pPr>
    </w:p>
    <w:p w:rsidR="00635582" w:rsidRPr="00473EC1" w:rsidRDefault="00635582" w:rsidP="006355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ab/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В соответствии с Указом Президента Российской Федерации «О национальной стратегии действий в интересах детей на 2012-2017 гг.» </w:t>
      </w:r>
      <w:proofErr w:type="gramStart"/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в</w:t>
      </w:r>
      <w:proofErr w:type="gramEnd"/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Нефтеюганском</w:t>
      </w:r>
      <w:proofErr w:type="gramEnd"/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ра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й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оне, как и во всем автономном округе, идет интенсивный процесс освоения и развития восст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новительных практик через создание территориальных и школьных служб примир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ния.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В соответствии с приказом Департамента образования и мол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дежной политики Нефтеюганского</w:t>
      </w:r>
      <w:r w:rsidR="00FE02AB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района  № 790-0 от 30.10.2013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 во всех 13 </w:t>
      </w:r>
      <w:r w:rsidRPr="00473EC1">
        <w:rPr>
          <w:rFonts w:ascii="Times New Roman" w:eastAsia="Times New Roman" w:hAnsi="Times New Roman"/>
          <w:bCs/>
          <w:color w:val="000000" w:themeColor="text1"/>
          <w:sz w:val="25"/>
          <w:szCs w:val="25"/>
          <w:lang w:eastAsia="ru-RU"/>
        </w:rPr>
        <w:t>общеобразовательных уч</w:t>
      </w:r>
      <w:r w:rsidR="00FE02AB" w:rsidRPr="00473EC1">
        <w:rPr>
          <w:rFonts w:ascii="Times New Roman" w:eastAsia="Times New Roman" w:hAnsi="Times New Roman"/>
          <w:bCs/>
          <w:color w:val="000000" w:themeColor="text1"/>
          <w:sz w:val="25"/>
          <w:szCs w:val="25"/>
          <w:lang w:eastAsia="ru-RU"/>
        </w:rPr>
        <w:t>реждениях Нефтеюганского района</w:t>
      </w:r>
      <w:r w:rsidRPr="00473EC1">
        <w:rPr>
          <w:rFonts w:ascii="Times New Roman" w:eastAsia="Times New Roman" w:hAnsi="Times New Roman"/>
          <w:bCs/>
          <w:color w:val="000000" w:themeColor="text1"/>
          <w:sz w:val="25"/>
          <w:szCs w:val="25"/>
          <w:lang w:eastAsia="ru-RU"/>
        </w:rPr>
        <w:t xml:space="preserve">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созданы Школьные службы примирения (д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лее </w:t>
      </w:r>
      <w:r w:rsidR="0010098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-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ШСП). </w:t>
      </w:r>
    </w:p>
    <w:p w:rsidR="00635582" w:rsidRPr="00473EC1" w:rsidRDefault="00635582" w:rsidP="0063558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На базе Н</w:t>
      </w:r>
      <w:r w:rsidR="00FE02AB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ефтеюганского районного муниципального бюджетного учреждения </w:t>
      </w:r>
      <w:r w:rsidR="0010098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дополнительного образования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«Центр развития творчества детей и юношества» </w:t>
      </w:r>
      <w:r w:rsidR="0054745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(далее – ЦРТДЮ) 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работает районная служба примирения</w:t>
      </w:r>
      <w:r w:rsidR="0054745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, которой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ведется методическое с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провождение (организована регулярная  рассылка пособий, книг, статей, ссылок с ц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лью повышения качества работы ШСП), к работе подключено методическое объед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и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нение псих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логов и социальных педагогов Нефтеюганского района. </w:t>
      </w:r>
    </w:p>
    <w:p w:rsidR="00635582" w:rsidRPr="00473EC1" w:rsidRDefault="00635582" w:rsidP="0063558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В целях информирования общественности о работе служб примирения:</w:t>
      </w:r>
    </w:p>
    <w:p w:rsidR="00635582" w:rsidRPr="00473EC1" w:rsidRDefault="00635582" w:rsidP="006355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- во всех школах имеются стенды ШСП, где указаны цели и задачи, контактные да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ные; </w:t>
      </w:r>
    </w:p>
    <w:p w:rsidR="00635582" w:rsidRPr="00473EC1" w:rsidRDefault="00635582" w:rsidP="006355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- на официальном сайте Администрации Нефтеюганского района (</w:t>
      </w:r>
      <w:proofErr w:type="spellStart"/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val="en-US" w:eastAsia="ru-RU"/>
        </w:rPr>
        <w:t>admoil</w:t>
      </w:r>
      <w:proofErr w:type="spellEnd"/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.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val="en-US" w:eastAsia="ru-RU"/>
        </w:rPr>
        <w:t>ru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) и сайте Д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партамента образования и молодежной политики Нефтеюганского района (</w:t>
      </w:r>
      <w:proofErr w:type="spellStart"/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val="en-US" w:eastAsia="ru-RU"/>
        </w:rPr>
        <w:t>cctec</w:t>
      </w:r>
      <w:proofErr w:type="spellEnd"/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.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val="en-US" w:eastAsia="ru-RU"/>
        </w:rPr>
        <w:t>ru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), сай</w:t>
      </w:r>
      <w:r w:rsidR="0010098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тах образовательных учреждений района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размещена</w:t>
      </w:r>
      <w:proofErr w:type="gramEnd"/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информ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ция о целях и задачах ШСП, указаны контактные данные их кураторов, а также метод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и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ческие материалы, обновляются п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следние новости по данной теме;</w:t>
      </w:r>
    </w:p>
    <w:p w:rsidR="00635582" w:rsidRPr="00473EC1" w:rsidRDefault="00635582" w:rsidP="006355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proofErr w:type="gramStart"/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lastRenderedPageBreak/>
        <w:t>- проведены массовые профилактические мероприятия со школьниками 4-11 кла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с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сов и их родителями, в ходе которых разъяснялась информация о том, что такое ШСП, её основные цели и задачи, затрагивались следующие темы - административная и уг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ловная ответственность несовершеннолетних, безопасность в сети интернет (экстр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мизм, негативный контент, личные данные и т.д.), на всех мероприятиях использов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лись слайдовые презен</w:t>
      </w:r>
      <w:r w:rsidR="0010098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тации, охват – 820-несовершеннолетних, 150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р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дите</w:t>
      </w:r>
      <w:r w:rsidR="0010098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лей;</w:t>
      </w:r>
      <w:proofErr w:type="gramEnd"/>
    </w:p>
    <w:p w:rsidR="00635582" w:rsidRPr="00473EC1" w:rsidRDefault="00635582" w:rsidP="006355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- в районной газет</w:t>
      </w:r>
      <w:r w:rsidR="0010098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 «Югорское обозрение» вышли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статьи (ноябрь 2015 года, март и сентябрь 2016 года) о школьных службах примирения, созданных в ОУ Нефтеюга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ского ра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й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она;</w:t>
      </w:r>
    </w:p>
    <w:p w:rsidR="00635582" w:rsidRPr="00473EC1" w:rsidRDefault="00635582" w:rsidP="006355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- на </w:t>
      </w:r>
      <w:proofErr w:type="gramStart"/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районном</w:t>
      </w:r>
      <w:proofErr w:type="gramEnd"/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телевидении вышло три видеосюжета о проведенных мероприятиях</w:t>
      </w:r>
      <w:r w:rsidR="0010098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ШСП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.</w:t>
      </w:r>
    </w:p>
    <w:p w:rsidR="002809F6" w:rsidRPr="00473EC1" w:rsidRDefault="00635582" w:rsidP="002809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Во всех школах района утверждены Положения о ШСП, составлены планы р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боты, приказом определены кураторы и</w:t>
      </w:r>
      <w:r w:rsidRPr="00473EC1">
        <w:rPr>
          <w:rFonts w:ascii="Times New Roman" w:eastAsia="Times New Roman" w:hAnsi="Times New Roman"/>
          <w:bCs/>
          <w:color w:val="000000" w:themeColor="text1"/>
          <w:sz w:val="25"/>
          <w:szCs w:val="25"/>
          <w:lang w:eastAsia="ru-RU"/>
        </w:rPr>
        <w:t xml:space="preserve">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состав ШСП (утверждается в начале каждого учебного года), привлечены к работе подростки 8-10 классов.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2573"/>
        <w:gridCol w:w="2571"/>
        <w:gridCol w:w="2068"/>
      </w:tblGrid>
      <w:tr w:rsidR="00635582" w:rsidRPr="00473EC1" w:rsidTr="002809F6">
        <w:trPr>
          <w:trHeight w:val="361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F6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Количество </w:t>
            </w:r>
          </w:p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действующих служб медиации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Количество членов служб</w:t>
            </w:r>
          </w:p>
        </w:tc>
      </w:tr>
      <w:tr w:rsidR="00635582" w:rsidRPr="00473EC1" w:rsidTr="00543EEF">
        <w:trPr>
          <w:trHeight w:val="426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82" w:rsidRPr="00473EC1" w:rsidRDefault="00635582" w:rsidP="0063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Медиаторы</w:t>
            </w:r>
          </w:p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взрослые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Школьники</w:t>
            </w:r>
          </w:p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медиаторы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Участники службы</w:t>
            </w:r>
          </w:p>
        </w:tc>
      </w:tr>
      <w:tr w:rsidR="00635582" w:rsidRPr="00473EC1" w:rsidTr="00543EEF">
        <w:trPr>
          <w:trHeight w:val="48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13</w:t>
            </w:r>
            <w:r w:rsidR="002809F6"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 ШСП</w:t>
            </w:r>
          </w:p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+1 </w:t>
            </w:r>
            <w:proofErr w:type="gramStart"/>
            <w:r w:rsidR="002809F6"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районная</w:t>
            </w:r>
            <w:proofErr w:type="gramEnd"/>
            <w:r w:rsidR="002809F6"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СП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38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Pr="00473EC1" w:rsidRDefault="00635582" w:rsidP="0028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473EC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eastAsia="ru-RU"/>
              </w:rPr>
              <w:t>61</w:t>
            </w:r>
          </w:p>
        </w:tc>
      </w:tr>
    </w:tbl>
    <w:p w:rsidR="002809F6" w:rsidRPr="00473EC1" w:rsidRDefault="00635582" w:rsidP="006355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ab/>
        <w:t xml:space="preserve">За 11 месяцев 2016 года  зарегистрировано </w:t>
      </w:r>
      <w:r w:rsidR="002809F6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38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обраще</w:t>
      </w:r>
      <w:r w:rsidR="002809F6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ний в ШСП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="002809F6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(2014 – 13, </w:t>
      </w:r>
      <w:r w:rsidR="002809F6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2015 - 18), в том числе:</w:t>
      </w:r>
    </w:p>
    <w:p w:rsidR="002809F6" w:rsidRPr="00473EC1" w:rsidRDefault="002809F6" w:rsidP="002809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- драки – 19 (2014 - 5, 2015 - 5);</w:t>
      </w:r>
    </w:p>
    <w:p w:rsidR="002809F6" w:rsidRPr="00473EC1" w:rsidRDefault="002809F6" w:rsidP="002809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- оскорбления – 16 (2014 - 3, 2015 – 6);</w:t>
      </w:r>
    </w:p>
    <w:p w:rsidR="002809F6" w:rsidRPr="00473EC1" w:rsidRDefault="002809F6" w:rsidP="002809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- конфликт с учителем – 2 (2014 – 0; 2015 – 0);</w:t>
      </w:r>
    </w:p>
    <w:p w:rsidR="002809F6" w:rsidRPr="00473EC1" w:rsidRDefault="002809F6" w:rsidP="002809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- нарушение норм поведения в результате конфликтов - 1(2014 - 5, 2015 – 7).</w:t>
      </w:r>
    </w:p>
    <w:p w:rsidR="00635582" w:rsidRPr="00473EC1" w:rsidRDefault="002809F6" w:rsidP="0063558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73EC1">
        <w:rPr>
          <w:rFonts w:ascii="Times New Roman" w:hAnsi="Times New Roman"/>
          <w:sz w:val="25"/>
          <w:szCs w:val="25"/>
        </w:rPr>
        <w:t xml:space="preserve"> </w:t>
      </w:r>
      <w:r w:rsidRPr="00473EC1">
        <w:rPr>
          <w:rFonts w:ascii="Times New Roman" w:hAnsi="Times New Roman"/>
          <w:sz w:val="25"/>
          <w:szCs w:val="25"/>
        </w:rPr>
        <w:tab/>
      </w:r>
      <w:r w:rsidR="00635582" w:rsidRPr="00473EC1">
        <w:rPr>
          <w:rFonts w:ascii="Times New Roman" w:hAnsi="Times New Roman"/>
          <w:sz w:val="25"/>
          <w:szCs w:val="25"/>
        </w:rPr>
        <w:t xml:space="preserve">В процедурах медиации </w:t>
      </w:r>
      <w:r w:rsidRPr="00473EC1">
        <w:rPr>
          <w:rFonts w:ascii="Times New Roman" w:hAnsi="Times New Roman"/>
          <w:sz w:val="25"/>
          <w:szCs w:val="25"/>
        </w:rPr>
        <w:t>приняли участие</w:t>
      </w:r>
      <w:r w:rsidR="00635582" w:rsidRPr="00473EC1">
        <w:rPr>
          <w:rFonts w:ascii="Times New Roman" w:hAnsi="Times New Roman"/>
          <w:sz w:val="25"/>
          <w:szCs w:val="25"/>
        </w:rPr>
        <w:t>:</w:t>
      </w:r>
    </w:p>
    <w:p w:rsidR="00635582" w:rsidRPr="00473EC1" w:rsidRDefault="00635582" w:rsidP="0063558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73EC1">
        <w:rPr>
          <w:rFonts w:ascii="Times New Roman" w:hAnsi="Times New Roman"/>
          <w:sz w:val="25"/>
          <w:szCs w:val="25"/>
        </w:rPr>
        <w:t xml:space="preserve">- медиаторы взрослые </w:t>
      </w:r>
      <w:r w:rsidR="002809F6" w:rsidRPr="00473EC1">
        <w:rPr>
          <w:rFonts w:ascii="Times New Roman" w:hAnsi="Times New Roman"/>
          <w:sz w:val="25"/>
          <w:szCs w:val="25"/>
        </w:rPr>
        <w:t>–</w:t>
      </w:r>
      <w:r w:rsidRPr="00473EC1">
        <w:rPr>
          <w:rFonts w:ascii="Times New Roman" w:hAnsi="Times New Roman"/>
          <w:sz w:val="25"/>
          <w:szCs w:val="25"/>
        </w:rPr>
        <w:t xml:space="preserve"> 14</w:t>
      </w:r>
      <w:r w:rsidR="002809F6" w:rsidRPr="00473EC1">
        <w:rPr>
          <w:rFonts w:ascii="Times New Roman" w:hAnsi="Times New Roman"/>
          <w:sz w:val="25"/>
          <w:szCs w:val="25"/>
        </w:rPr>
        <w:t xml:space="preserve"> человек;</w:t>
      </w:r>
    </w:p>
    <w:p w:rsidR="00635582" w:rsidRPr="00473EC1" w:rsidRDefault="00635582" w:rsidP="0063558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73EC1">
        <w:rPr>
          <w:rFonts w:ascii="Times New Roman" w:hAnsi="Times New Roman"/>
          <w:sz w:val="25"/>
          <w:szCs w:val="25"/>
        </w:rPr>
        <w:t>- школьники-медиаторы –37</w:t>
      </w:r>
      <w:r w:rsidR="002809F6" w:rsidRPr="00473EC1">
        <w:rPr>
          <w:rFonts w:ascii="Times New Roman" w:hAnsi="Times New Roman"/>
          <w:sz w:val="25"/>
          <w:szCs w:val="25"/>
        </w:rPr>
        <w:t xml:space="preserve"> человек;</w:t>
      </w:r>
    </w:p>
    <w:p w:rsidR="00635582" w:rsidRPr="00473EC1" w:rsidRDefault="002809F6" w:rsidP="0063558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73EC1">
        <w:rPr>
          <w:rFonts w:ascii="Times New Roman" w:hAnsi="Times New Roman"/>
          <w:sz w:val="25"/>
          <w:szCs w:val="25"/>
        </w:rPr>
        <w:t xml:space="preserve"> - участники примирительных процедур - 73 человека (пострадавших -35, правонар</w:t>
      </w:r>
      <w:r w:rsidRPr="00473EC1">
        <w:rPr>
          <w:rFonts w:ascii="Times New Roman" w:hAnsi="Times New Roman"/>
          <w:sz w:val="25"/>
          <w:szCs w:val="25"/>
        </w:rPr>
        <w:t>у</w:t>
      </w:r>
      <w:r w:rsidRPr="00473EC1">
        <w:rPr>
          <w:rFonts w:ascii="Times New Roman" w:hAnsi="Times New Roman"/>
          <w:sz w:val="25"/>
          <w:szCs w:val="25"/>
        </w:rPr>
        <w:t>шит</w:t>
      </w:r>
      <w:r w:rsidRPr="00473EC1">
        <w:rPr>
          <w:rFonts w:ascii="Times New Roman" w:hAnsi="Times New Roman"/>
          <w:sz w:val="25"/>
          <w:szCs w:val="25"/>
        </w:rPr>
        <w:t>е</w:t>
      </w:r>
      <w:r w:rsidRPr="00473EC1">
        <w:rPr>
          <w:rFonts w:ascii="Times New Roman" w:hAnsi="Times New Roman"/>
          <w:sz w:val="25"/>
          <w:szCs w:val="25"/>
        </w:rPr>
        <w:t>лей</w:t>
      </w:r>
      <w:r w:rsidR="00635582" w:rsidRPr="00473EC1">
        <w:rPr>
          <w:rFonts w:ascii="Times New Roman" w:hAnsi="Times New Roman"/>
          <w:sz w:val="25"/>
          <w:szCs w:val="25"/>
        </w:rPr>
        <w:t xml:space="preserve"> -</w:t>
      </w:r>
      <w:r w:rsidR="00473EC1">
        <w:rPr>
          <w:rFonts w:ascii="Times New Roman" w:hAnsi="Times New Roman"/>
          <w:sz w:val="25"/>
          <w:szCs w:val="25"/>
        </w:rPr>
        <w:t xml:space="preserve"> </w:t>
      </w:r>
      <w:r w:rsidR="00635582" w:rsidRPr="00473EC1">
        <w:rPr>
          <w:rFonts w:ascii="Times New Roman" w:hAnsi="Times New Roman"/>
          <w:sz w:val="25"/>
          <w:szCs w:val="25"/>
        </w:rPr>
        <w:t>38)</w:t>
      </w:r>
      <w:r w:rsidRPr="00473EC1">
        <w:rPr>
          <w:rFonts w:ascii="Times New Roman" w:hAnsi="Times New Roman"/>
          <w:sz w:val="25"/>
          <w:szCs w:val="25"/>
        </w:rPr>
        <w:t>;</w:t>
      </w:r>
    </w:p>
    <w:p w:rsidR="00635582" w:rsidRPr="00473EC1" w:rsidRDefault="00635582" w:rsidP="0063558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73EC1">
        <w:rPr>
          <w:rFonts w:ascii="Times New Roman" w:hAnsi="Times New Roman"/>
          <w:sz w:val="25"/>
          <w:szCs w:val="25"/>
        </w:rPr>
        <w:t xml:space="preserve">- </w:t>
      </w:r>
      <w:r w:rsidR="002809F6" w:rsidRPr="00473EC1">
        <w:rPr>
          <w:rFonts w:ascii="Times New Roman" w:hAnsi="Times New Roman"/>
          <w:sz w:val="25"/>
          <w:szCs w:val="25"/>
        </w:rPr>
        <w:t>иные лица (</w:t>
      </w:r>
      <w:r w:rsidRPr="00473EC1">
        <w:rPr>
          <w:rFonts w:ascii="Times New Roman" w:hAnsi="Times New Roman"/>
          <w:sz w:val="25"/>
          <w:szCs w:val="25"/>
        </w:rPr>
        <w:t>родители школьников</w:t>
      </w:r>
      <w:r w:rsidR="002809F6" w:rsidRPr="00473EC1">
        <w:rPr>
          <w:rFonts w:ascii="Times New Roman" w:hAnsi="Times New Roman"/>
          <w:sz w:val="25"/>
          <w:szCs w:val="25"/>
        </w:rPr>
        <w:t>)</w:t>
      </w:r>
      <w:r w:rsidRPr="00473EC1">
        <w:rPr>
          <w:rFonts w:ascii="Times New Roman" w:hAnsi="Times New Roman"/>
          <w:sz w:val="25"/>
          <w:szCs w:val="25"/>
        </w:rPr>
        <w:t xml:space="preserve"> – 4</w:t>
      </w:r>
      <w:r w:rsidR="002809F6" w:rsidRPr="00473EC1">
        <w:rPr>
          <w:rFonts w:ascii="Times New Roman" w:hAnsi="Times New Roman"/>
          <w:sz w:val="25"/>
          <w:szCs w:val="25"/>
        </w:rPr>
        <w:t>.</w:t>
      </w:r>
    </w:p>
    <w:p w:rsidR="00635582" w:rsidRPr="00473EC1" w:rsidRDefault="00635582" w:rsidP="002809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ab/>
      </w:r>
      <w:r w:rsidR="002809F6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В</w:t>
      </w:r>
      <w:r w:rsidR="002809F6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2016 году проведена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работа по повышению квалификации кураторов ШСП и подростков-медиаторов</w:t>
      </w:r>
      <w:r w:rsidR="00E42598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: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="002809F6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3E1026" w:rsidRPr="00473EC1" w:rsidRDefault="002809F6" w:rsidP="003E10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-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04 марта 2016 года  состоялся районный методический семинар для кураторов и по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д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ростков-медиат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оров школьных служб примирения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(общее количество участников с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минара – 53 слуша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теля). На семинаре о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пытом своей работы поделились сп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циалисты отдела психолого-педагогической и социальной помощи МБУ «Центр м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лоде</w:t>
      </w:r>
      <w:r w:rsidR="00E42598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жных инициатив» (г.Нефтеюганск);</w:t>
      </w:r>
    </w:p>
    <w:p w:rsidR="003E1026" w:rsidRPr="00473EC1" w:rsidRDefault="003E1026" w:rsidP="003E10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-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с 14-24 марта 2016 года на базе ФГБОУ ВО «Югорский государственный универс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и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тет» г</w:t>
      </w:r>
      <w:proofErr w:type="gramStart"/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.Х</w:t>
      </w:r>
      <w:proofErr w:type="gramEnd"/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анты-Мансийск по дополнительной профессиональной образовательной пр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грамме повышения квалификации: «Правовые и социально-психологические аспекты досудебного сопровождения и ресоциализации несовершеннолетних, </w:t>
      </w:r>
      <w:proofErr w:type="gramStart"/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с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вершивших</w:t>
      </w:r>
      <w:proofErr w:type="gramEnd"/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про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тивоправные действия»</w:t>
      </w:r>
      <w:r w:rsidR="00E42598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;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3E1026" w:rsidRPr="00473EC1" w:rsidRDefault="003E1026" w:rsidP="003E10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- 30 марта 2016 года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Департамент образования и молодежной политики Ха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ты-Мансийского автономного округа - Югры провел семинар в режиме видеоконфере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ции по обмену успешным опытом деятельности школьных служб примирений в обр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зовательных организациях автономного округа. </w:t>
      </w:r>
      <w:proofErr w:type="gramStart"/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В рамках семинара заведующий отд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лом молодежных инициатив Талько В.А. выступил с докладом об организации де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я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тельности школьных служб примирения в образовательных учреждениях Нефтеюга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ского района (доклад в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шел в сборник по итогам се</w:t>
      </w:r>
      <w:r w:rsidR="00E42598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минара);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proofErr w:type="gramEnd"/>
    </w:p>
    <w:p w:rsidR="00635582" w:rsidRPr="00473EC1" w:rsidRDefault="003E1026" w:rsidP="003E10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lastRenderedPageBreak/>
        <w:t xml:space="preserve">- </w:t>
      </w:r>
      <w:r w:rsidR="00635582" w:rsidRPr="00473EC1">
        <w:rPr>
          <w:rFonts w:ascii="Times New Roman" w:eastAsia="Times New Roman" w:hAnsi="Times New Roman"/>
          <w:bCs/>
          <w:color w:val="000000" w:themeColor="text1"/>
          <w:sz w:val="25"/>
          <w:szCs w:val="25"/>
          <w:lang w:eastAsia="ru-RU"/>
        </w:rPr>
        <w:t>6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октября 2016 года в г.п. Пойковский на базе </w:t>
      </w:r>
      <w:r w:rsidR="0054745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ЦРТДиЮ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состоялся круглый стол на тему «Формирование готовности </w:t>
      </w:r>
      <w:proofErr w:type="gramStart"/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обучающихся</w:t>
      </w:r>
      <w:proofErr w:type="gramEnd"/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к участию в деятельн</w:t>
      </w:r>
      <w:r w:rsidR="0054745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ости школьной службы медиации».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Цель проведения круглого стола: изучение передового опыта м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диативных процедур в урегулировании споров в сфере образования, обсуждение и определение мер способствующих внедрению медиативных технологий в образов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тельных орг</w:t>
      </w:r>
      <w:r w:rsidR="00E42598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анизациях Нефтеюганского района;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="00547450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635582" w:rsidRPr="00473EC1" w:rsidRDefault="00547450" w:rsidP="006355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- с 09.11.2016 по 15.11.2016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на базе автономного учреждения дополнительного пр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фессионального образования ХМАО-Югры  «Институт развития обр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зования», три специалиста из Нефтеюганского района прошли обучение на очно-заочных курсах п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вышения квал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и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фикации с применением дистанционных образовательных технологий по теме: «Особе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ности работы с несовершеннолетними  при проведении следственных </w:t>
      </w:r>
      <w:r w:rsidR="00E42598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и иных процесс</w:t>
      </w:r>
      <w:r w:rsidR="00E42598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у</w:t>
      </w:r>
      <w:r w:rsidR="00E42598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альных действий»;</w:t>
      </w:r>
    </w:p>
    <w:p w:rsidR="00635582" w:rsidRPr="00473EC1" w:rsidRDefault="00E42598" w:rsidP="006355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proofErr w:type="gramStart"/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-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1</w:t>
      </w:r>
      <w:r w:rsidR="00635582" w:rsidRPr="00473EC1">
        <w:rPr>
          <w:rFonts w:ascii="Times New Roman" w:eastAsia="Times New Roman" w:hAnsi="Times New Roman"/>
          <w:bCs/>
          <w:color w:val="000000" w:themeColor="text1"/>
          <w:sz w:val="25"/>
          <w:szCs w:val="25"/>
          <w:lang w:eastAsia="ru-RU"/>
        </w:rPr>
        <w:t>6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ноября 2016 г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ода в г.п. Пойковский на базе бюджетного учреждения Ханты-Мансийского автономного округа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-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Югры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="001D3CFE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Комплексный центр социального обслуж</w:t>
      </w:r>
      <w:r w:rsidR="001D3CFE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и</w:t>
      </w:r>
      <w:r w:rsidR="001D3CFE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вания населения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«Забота» прошел образовательный семинар для волонте</w:t>
      </w:r>
      <w:r w:rsidR="001D3CFE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ров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="001D3CFE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по вопр</w:t>
      </w:r>
      <w:r w:rsidR="001D3CFE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="001D3CFE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сам деятельности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школьных служб примирения</w:t>
      </w:r>
      <w:r w:rsidR="001D3CFE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;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="001D3CFE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proofErr w:type="gramEnd"/>
    </w:p>
    <w:p w:rsidR="00635582" w:rsidRPr="00473EC1" w:rsidRDefault="001D3CFE" w:rsidP="006355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- с 21.11.2016 по 26.11.2016  на базе бюджетного учреждения высшего образования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«Сургутский государственный университет» г.Су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ргут 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в очной форме прошли обуч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ние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2 специалиста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на курсах повышения квалификации по теме: «Развитие межэтн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и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ческой интеграции, профилактика ксенофобии и экстремизма (медиация межнаци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нальных конфли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к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тов)»;</w:t>
      </w:r>
    </w:p>
    <w:p w:rsidR="00635582" w:rsidRPr="00473EC1" w:rsidRDefault="001D3CFE" w:rsidP="006355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-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29 ноября 2016г. в г.п Пойковский, на базе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ЦРТДиЮ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прошел первый районный слет м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диаторов школьных служб примирения. </w:t>
      </w:r>
      <w:proofErr w:type="gramStart"/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Цель данного мероприятия – активизация деятельности школьных служб примирения образовательных организаций Нефт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юганского района, создание площадки для эффективного взаимодействия подростков-медиаторов  с учащимися образовательных организаций района, развитие умений и навыков подростков-медиаторов и кураторов школьных служб примирения по восст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новительным техн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логиям, отработка основ целеполагания под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ростков-медиаторов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, формирование толерантности у несовершеннолетних по отно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шению к себе и друг др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у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гу (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55 человек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)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. </w:t>
      </w:r>
      <w:proofErr w:type="gramEnd"/>
    </w:p>
    <w:p w:rsidR="00635582" w:rsidRPr="00473EC1" w:rsidRDefault="001D3CFE" w:rsidP="0063558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Н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а базе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Центр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развития творчества детей и юношества» (г.п. Пойковский) в соответствии с методическими рекомендациями оборудовано 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«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по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мещение, 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друж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ственное детям», которое 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начало свою работу</w:t>
      </w:r>
      <w:r w:rsidR="00635582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в сентябр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 2016 года.</w:t>
      </w:r>
    </w:p>
    <w:p w:rsidR="00F014C9" w:rsidRPr="00473EC1" w:rsidRDefault="00F014C9" w:rsidP="0063558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Территориальной комиссии по делам несовершеннолетних и защите их прав Нефтеюганского района  ежегодно рассматриваются вопросы использования меди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тивных и восстановительных технологий в деятельности структур системы профила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к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тики, как непосредственно на заседаниях территориальной комиссии, так и на расш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и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ренных сов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щаниях по вопросам профилактики безнадзорности, правонарушений  и жестокого обр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щения с детьми.</w:t>
      </w:r>
    </w:p>
    <w:p w:rsidR="00F014C9" w:rsidRPr="00473EC1" w:rsidRDefault="00F014C9" w:rsidP="00F014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Об эффективности использования медиативных технологий в деятельности о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р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ганов и учреждений системы профилактики безнадзорности и правонарушений нес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вершеннолетних говорят следующие показатели:</w:t>
      </w:r>
    </w:p>
    <w:p w:rsidR="00543EEF" w:rsidRPr="00473EC1" w:rsidRDefault="00F014C9" w:rsidP="00F014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1). Снижение количества школьных конфликтов и соответственно снижение количества вынесенных постановлений об отказе в возбуждении уголовного дела в связи с н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достижением возраста уголовной ответственно</w:t>
      </w:r>
      <w:r w:rsidR="00543EEF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сти;</w:t>
      </w:r>
    </w:p>
    <w:p w:rsidR="00543EEF" w:rsidRPr="00473EC1" w:rsidRDefault="00543EEF" w:rsidP="00F014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2).  С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нижение количества самовольных уходов детей из дома и госучрежде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ний  - зарегистрировано 2 самовольных ухода (АППГ – 7);</w:t>
      </w:r>
    </w:p>
    <w:p w:rsidR="00F014C9" w:rsidRPr="00473EC1" w:rsidRDefault="00543EEF" w:rsidP="00F014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3). О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бщее снижение количества семей и несовершеннолетних, </w:t>
      </w:r>
      <w:proofErr w:type="gramStart"/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находящихся</w:t>
      </w:r>
      <w:proofErr w:type="gramEnd"/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в социально опасном положении (2015 год – 35 семей/30 несовершеннолетних, на 01.11.2016 – 3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1 семья/15 несовершеннолетних);</w:t>
      </w:r>
    </w:p>
    <w:p w:rsidR="00543EEF" w:rsidRPr="00473EC1" w:rsidRDefault="00543EEF" w:rsidP="00F014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4). 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Уровень подростковой преступности в районе ниже среднеокружного пок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зат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ля, за 9 месяцев 2016 года 5-ю несовершеннолетними совершено 3 преступления, 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lastRenderedPageBreak/>
        <w:t>все преступления квалифицируются по ст.158 УК РФ (аналогичный п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риод прошлого года   – 8  несовершеннолетних / 20 преступлений). </w:t>
      </w:r>
    </w:p>
    <w:p w:rsidR="00543EEF" w:rsidRPr="00473EC1" w:rsidRDefault="00543EEF" w:rsidP="00F014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5). 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Общественно - опасных деяний до достижения возраста, с которого наступ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ет уголовная ответстве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ность за  текущий период 201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6 года совершено 2 (АППГ – 6).</w:t>
      </w:r>
    </w:p>
    <w:p w:rsidR="00543EEF" w:rsidRPr="00473EC1" w:rsidRDefault="00543EEF" w:rsidP="00543E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П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оложительные тенденции достигнуты благодаря совместной работе специ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а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листов структур системы профилактики, и немаловажная роль принадлежит  внедр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е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нию медиативных и восстановительных технологий в работе с  несоверше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нолетними.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С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ледует отметить, что  работа служб примирения является эффективной и позволя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ю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щей достичь наилучших результатов в работе с детьми группы ри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с</w:t>
      </w:r>
      <w:r w:rsidR="00F014C9"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ка. </w:t>
      </w:r>
      <w:r w:rsidRPr="00473EC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="00F014C9" w:rsidRPr="00473EC1">
        <w:rPr>
          <w:rFonts w:ascii="Times New Roman" w:eastAsia="Times New Roman" w:hAnsi="Times New Roman"/>
          <w:sz w:val="25"/>
          <w:szCs w:val="25"/>
          <w:lang w:eastAsia="ru-RU"/>
        </w:rPr>
        <w:tab/>
      </w:r>
    </w:p>
    <w:p w:rsidR="00473EC1" w:rsidRDefault="00543EEF" w:rsidP="0063558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sz w:val="25"/>
          <w:szCs w:val="25"/>
          <w:lang w:eastAsia="ru-RU"/>
        </w:rPr>
        <w:tab/>
      </w:r>
    </w:p>
    <w:p w:rsidR="00635582" w:rsidRPr="00473EC1" w:rsidRDefault="00473EC1" w:rsidP="006355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543EEF" w:rsidRPr="00473EC1">
        <w:rPr>
          <w:rFonts w:ascii="Times New Roman" w:eastAsia="Times New Roman" w:hAnsi="Times New Roman"/>
          <w:sz w:val="25"/>
          <w:szCs w:val="25"/>
          <w:lang w:eastAsia="ru-RU"/>
        </w:rPr>
        <w:t>На основании вышеизложенного, т</w:t>
      </w:r>
      <w:r w:rsidR="00635582" w:rsidRPr="00473EC1">
        <w:rPr>
          <w:rFonts w:ascii="Times New Roman" w:eastAsia="Times New Roman" w:hAnsi="Times New Roman"/>
          <w:sz w:val="25"/>
          <w:szCs w:val="25"/>
          <w:lang w:eastAsia="ru-RU"/>
        </w:rPr>
        <w:t>ерриториальная комиссия по делам несове</w:t>
      </w:r>
      <w:r w:rsidR="00635582" w:rsidRPr="00473EC1">
        <w:rPr>
          <w:rFonts w:ascii="Times New Roman" w:eastAsia="Times New Roman" w:hAnsi="Times New Roman"/>
          <w:sz w:val="25"/>
          <w:szCs w:val="25"/>
          <w:lang w:eastAsia="ru-RU"/>
        </w:rPr>
        <w:t>р</w:t>
      </w:r>
      <w:r w:rsidR="00635582" w:rsidRPr="00473EC1">
        <w:rPr>
          <w:rFonts w:ascii="Times New Roman" w:eastAsia="Times New Roman" w:hAnsi="Times New Roman"/>
          <w:sz w:val="25"/>
          <w:szCs w:val="25"/>
          <w:lang w:eastAsia="ru-RU"/>
        </w:rPr>
        <w:t>шеннолетних и защите их прав  Нефтеюга</w:t>
      </w:r>
      <w:r w:rsidR="00635582" w:rsidRPr="00473EC1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635582" w:rsidRPr="00473EC1">
        <w:rPr>
          <w:rFonts w:ascii="Times New Roman" w:eastAsia="Times New Roman" w:hAnsi="Times New Roman"/>
          <w:sz w:val="25"/>
          <w:szCs w:val="25"/>
          <w:lang w:eastAsia="ru-RU"/>
        </w:rPr>
        <w:t xml:space="preserve">ского района </w:t>
      </w:r>
      <w:proofErr w:type="gramStart"/>
      <w:r w:rsidR="00635582" w:rsidRPr="00473EC1"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proofErr w:type="gramEnd"/>
      <w:r w:rsidR="00635582" w:rsidRPr="00473EC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и л а:</w:t>
      </w:r>
    </w:p>
    <w:p w:rsidR="00635582" w:rsidRPr="00473EC1" w:rsidRDefault="00473EC1" w:rsidP="00473EC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1. 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Департаменту образования и молодежной политики (Н.В.Котова) обесп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е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чить:</w:t>
      </w:r>
    </w:p>
    <w:p w:rsidR="00635582" w:rsidRPr="00473EC1" w:rsidRDefault="00635582" w:rsidP="0063558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ab/>
        <w:t>1.1.  обучение специалистов, включенных в работу служб примирения (меди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а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ции), по программам дополнительного профессионального образования, направле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н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ным на осв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о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ение метода школьной медиации и медиативного подхода, использование восстановительной практики в профилактической работе и мер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о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приятиях по работе с последствиями конфликтов, асоциальных проявлений, прав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о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нарушений.</w:t>
      </w:r>
    </w:p>
    <w:p w:rsidR="00635582" w:rsidRDefault="00635582" w:rsidP="0063558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ab/>
      </w:r>
      <w:r w:rsidRPr="00473EC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Срок: </w:t>
      </w:r>
      <w:r w:rsidRPr="00473EC1">
        <w:rPr>
          <w:rFonts w:ascii="Times New Roman" w:eastAsia="Times New Roman" w:hAnsi="Times New Roman"/>
          <w:b/>
          <w:bCs/>
          <w:sz w:val="25"/>
          <w:szCs w:val="25"/>
          <w:u w:val="single"/>
          <w:lang w:eastAsia="ru-RU"/>
        </w:rPr>
        <w:t>до 25 декабря 2017 года</w:t>
      </w:r>
      <w:r w:rsidRPr="00473EC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.</w:t>
      </w:r>
    </w:p>
    <w:p w:rsidR="00473EC1" w:rsidRPr="00473EC1" w:rsidRDefault="00473EC1" w:rsidP="0063558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635582" w:rsidRPr="00473EC1" w:rsidRDefault="00635582" w:rsidP="0063558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1.2. разработку и утверждение совместно с Нефтеюганским межрайонным сле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д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ственным отделом Следственного уп</w:t>
      </w:r>
      <w:r w:rsid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равления СК 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по Ханты</w:t>
      </w:r>
      <w:r w:rsid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-</w:t>
      </w:r>
      <w:r w:rsid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Мансийскому автоно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м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ному округу - Югры локальных актов об утверждении алгоритма реализации пр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о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грамм примирения с участием несовершеннолетних правонарушителей,  нацеленных на примирение правонарушителя и потерпевшего, добровольное возмещение нанесе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н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ного ущерба</w:t>
      </w:r>
    </w:p>
    <w:p w:rsidR="00635582" w:rsidRDefault="00635582" w:rsidP="0063558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Срок: </w:t>
      </w:r>
      <w:r w:rsidRPr="00473EC1">
        <w:rPr>
          <w:rFonts w:ascii="Times New Roman" w:eastAsia="Times New Roman" w:hAnsi="Times New Roman"/>
          <w:b/>
          <w:bCs/>
          <w:sz w:val="25"/>
          <w:szCs w:val="25"/>
          <w:u w:val="single"/>
          <w:lang w:eastAsia="ru-RU"/>
        </w:rPr>
        <w:t>до 1 марта 2017 года</w:t>
      </w:r>
      <w:r w:rsidRPr="00473EC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.</w:t>
      </w:r>
    </w:p>
    <w:p w:rsidR="00473EC1" w:rsidRDefault="00473EC1" w:rsidP="00473EC1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635582" w:rsidRPr="00473EC1" w:rsidRDefault="00473EC1" w:rsidP="00473EC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  <w:t xml:space="preserve">1.3. 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направление в территориальную комиссию </w:t>
      </w: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>по делам несовершеннолетних и защите их прав Нефтеюганского района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отчета о деятельности школьных служб пр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и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мирения по форме в соответствии с приложением к данному постано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в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лению.</w:t>
      </w:r>
    </w:p>
    <w:p w:rsidR="00635582" w:rsidRPr="00473EC1" w:rsidRDefault="00635582" w:rsidP="00635582">
      <w:pPr>
        <w:pStyle w:val="a4"/>
        <w:jc w:val="both"/>
        <w:rPr>
          <w:b/>
          <w:sz w:val="25"/>
          <w:szCs w:val="25"/>
          <w:u w:val="single"/>
        </w:rPr>
      </w:pPr>
      <w:r w:rsidRPr="00473EC1">
        <w:rPr>
          <w:sz w:val="25"/>
          <w:szCs w:val="25"/>
        </w:rPr>
        <w:tab/>
      </w:r>
      <w:r w:rsidRPr="00473EC1">
        <w:rPr>
          <w:b/>
          <w:sz w:val="25"/>
          <w:szCs w:val="25"/>
        </w:rPr>
        <w:t xml:space="preserve">Срок: </w:t>
      </w:r>
      <w:r w:rsidRPr="00473EC1">
        <w:rPr>
          <w:b/>
          <w:sz w:val="25"/>
          <w:szCs w:val="25"/>
          <w:u w:val="single"/>
        </w:rPr>
        <w:t>до 20 января 2017 года (за 1 полугодие 2016-2017 учебного года)</w:t>
      </w:r>
    </w:p>
    <w:p w:rsidR="00635582" w:rsidRDefault="00635582" w:rsidP="00635582">
      <w:pPr>
        <w:pStyle w:val="a4"/>
        <w:jc w:val="both"/>
        <w:rPr>
          <w:b/>
          <w:sz w:val="25"/>
          <w:szCs w:val="25"/>
          <w:u w:val="single"/>
        </w:rPr>
      </w:pPr>
      <w:r w:rsidRPr="00473EC1">
        <w:rPr>
          <w:b/>
          <w:sz w:val="25"/>
          <w:szCs w:val="25"/>
        </w:rPr>
        <w:tab/>
      </w:r>
      <w:r w:rsidRPr="00473EC1">
        <w:rPr>
          <w:b/>
          <w:sz w:val="25"/>
          <w:szCs w:val="25"/>
        </w:rPr>
        <w:tab/>
      </w:r>
      <w:r w:rsidRPr="00473EC1">
        <w:rPr>
          <w:b/>
          <w:sz w:val="25"/>
          <w:szCs w:val="25"/>
          <w:u w:val="single"/>
        </w:rPr>
        <w:t>до 1 июня 2017 года (за 2-ое полугодие 2016-2017 учебного года).</w:t>
      </w:r>
    </w:p>
    <w:p w:rsidR="00473EC1" w:rsidRPr="00473EC1" w:rsidRDefault="00473EC1" w:rsidP="00635582">
      <w:pPr>
        <w:pStyle w:val="a4"/>
        <w:jc w:val="both"/>
        <w:rPr>
          <w:bCs/>
          <w:sz w:val="25"/>
          <w:szCs w:val="25"/>
          <w:u w:val="single"/>
        </w:rPr>
      </w:pPr>
    </w:p>
    <w:p w:rsidR="00635582" w:rsidRPr="00473EC1" w:rsidRDefault="00473EC1" w:rsidP="00473EC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ab/>
        <w:t xml:space="preserve">2. </w:t>
      </w:r>
      <w:proofErr w:type="gramStart"/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Рекомендовать  бюджетному учреждению Ханты-Мансийского автономного округа - Югры «Комплексный центр социального обслуживания населения «З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а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бота» (Л.Я.Ким) внедрять в работу учреждения использование медиативных технологий в работе с семьями и несовершеннолетними, находящимися в социально опасном пол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о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жении, р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у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ководствуясь учебно-методическим пособием, разработанным бюджетным учреждением автономного округа – Югры «Методический центр развития социальн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о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го обслуживания», «Внедрение технологии медиации в деятельность учреждений с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о</w:t>
      </w:r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циального обслуживания семьи и детей Ханты-мансийского автономного округа</w:t>
      </w:r>
      <w:proofErr w:type="gramEnd"/>
      <w:r w:rsidR="00635582"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– Югры»</w:t>
      </w: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>.</w:t>
      </w:r>
    </w:p>
    <w:p w:rsidR="00635582" w:rsidRPr="00473EC1" w:rsidRDefault="00635582" w:rsidP="0063558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Срок: </w:t>
      </w:r>
      <w:r w:rsidRPr="00473EC1">
        <w:rPr>
          <w:rFonts w:ascii="Times New Roman" w:eastAsia="Times New Roman" w:hAnsi="Times New Roman"/>
          <w:b/>
          <w:bCs/>
          <w:sz w:val="25"/>
          <w:szCs w:val="25"/>
          <w:u w:val="single"/>
          <w:lang w:eastAsia="ru-RU"/>
        </w:rPr>
        <w:t>до 25 декабря 2017 года</w:t>
      </w:r>
      <w:r w:rsidRPr="00473EC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.</w:t>
      </w:r>
    </w:p>
    <w:p w:rsidR="00473EC1" w:rsidRDefault="00473EC1" w:rsidP="00635582">
      <w:pPr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473EC1" w:rsidRDefault="00473EC1" w:rsidP="00635582">
      <w:pPr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635582" w:rsidRPr="00473EC1" w:rsidRDefault="00635582" w:rsidP="00635582">
      <w:pPr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Председатель территориальной комиссии                                              </w:t>
      </w:r>
      <w:r w:rsid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  </w:t>
      </w:r>
      <w:r w:rsidRPr="00473EC1">
        <w:rPr>
          <w:rFonts w:ascii="Times New Roman" w:eastAsia="Times New Roman" w:hAnsi="Times New Roman"/>
          <w:bCs/>
          <w:sz w:val="25"/>
          <w:szCs w:val="25"/>
          <w:lang w:eastAsia="ru-RU"/>
        </w:rPr>
        <w:t>В.Г.Михалев</w:t>
      </w:r>
    </w:p>
    <w:p w:rsidR="00635582" w:rsidRDefault="00635582" w:rsidP="00635582">
      <w:pPr>
        <w:pStyle w:val="a4"/>
        <w:jc w:val="right"/>
        <w:rPr>
          <w:b/>
        </w:rPr>
      </w:pPr>
    </w:p>
    <w:p w:rsidR="00473EC1" w:rsidRDefault="00473EC1" w:rsidP="00635582">
      <w:pPr>
        <w:pStyle w:val="a4"/>
        <w:jc w:val="right"/>
      </w:pPr>
    </w:p>
    <w:p w:rsidR="00635582" w:rsidRPr="00F014C9" w:rsidRDefault="00635582" w:rsidP="00635582">
      <w:pPr>
        <w:pStyle w:val="a4"/>
        <w:jc w:val="right"/>
      </w:pPr>
      <w:r w:rsidRPr="00F014C9">
        <w:lastRenderedPageBreak/>
        <w:t xml:space="preserve">Приложение к постановлению </w:t>
      </w:r>
    </w:p>
    <w:p w:rsidR="00635582" w:rsidRPr="00F014C9" w:rsidRDefault="00635582" w:rsidP="00635582">
      <w:pPr>
        <w:pStyle w:val="a4"/>
        <w:jc w:val="right"/>
      </w:pPr>
      <w:r w:rsidRPr="00F014C9">
        <w:t>ТКДН и ЗП Нефтеюганского района</w:t>
      </w:r>
    </w:p>
    <w:p w:rsidR="00635582" w:rsidRPr="00F014C9" w:rsidRDefault="00635582" w:rsidP="00635582">
      <w:pPr>
        <w:pStyle w:val="a4"/>
        <w:jc w:val="right"/>
      </w:pPr>
      <w:r w:rsidRPr="00F014C9">
        <w:t xml:space="preserve"> № </w:t>
      </w:r>
      <w:r w:rsidRPr="00F014C9">
        <w:rPr>
          <w:u w:val="single"/>
        </w:rPr>
        <w:t xml:space="preserve">93 </w:t>
      </w:r>
      <w:r w:rsidRPr="00F014C9">
        <w:t xml:space="preserve">от </w:t>
      </w:r>
      <w:r w:rsidRPr="00F014C9">
        <w:rPr>
          <w:u w:val="single"/>
        </w:rPr>
        <w:t>08.12.2016</w:t>
      </w:r>
    </w:p>
    <w:p w:rsidR="00635582" w:rsidRDefault="00635582" w:rsidP="00635582">
      <w:pPr>
        <w:pStyle w:val="a4"/>
        <w:jc w:val="center"/>
        <w:rPr>
          <w:b/>
          <w:sz w:val="26"/>
          <w:szCs w:val="26"/>
        </w:rPr>
      </w:pPr>
    </w:p>
    <w:p w:rsidR="00635582" w:rsidRPr="00C913A9" w:rsidRDefault="00635582" w:rsidP="00635582">
      <w:pPr>
        <w:pStyle w:val="a4"/>
        <w:jc w:val="center"/>
        <w:rPr>
          <w:b/>
          <w:sz w:val="26"/>
          <w:szCs w:val="26"/>
        </w:rPr>
      </w:pPr>
      <w:r w:rsidRPr="00C913A9">
        <w:rPr>
          <w:b/>
          <w:sz w:val="26"/>
          <w:szCs w:val="26"/>
        </w:rPr>
        <w:t>ОТЧЕТ</w:t>
      </w:r>
    </w:p>
    <w:p w:rsidR="00635582" w:rsidRPr="00C913A9" w:rsidRDefault="00635582" w:rsidP="00635582">
      <w:pPr>
        <w:pStyle w:val="a4"/>
        <w:jc w:val="center"/>
        <w:rPr>
          <w:b/>
        </w:rPr>
      </w:pPr>
      <w:r w:rsidRPr="00C913A9">
        <w:rPr>
          <w:b/>
          <w:sz w:val="26"/>
          <w:szCs w:val="26"/>
        </w:rPr>
        <w:t>о деятельности служб примирения за ___________2016-2017 уч. г</w:t>
      </w:r>
      <w:r w:rsidR="00473EC1">
        <w:rPr>
          <w:b/>
          <w:sz w:val="26"/>
          <w:szCs w:val="26"/>
        </w:rPr>
        <w:t>ода</w:t>
      </w:r>
    </w:p>
    <w:p w:rsidR="00635582" w:rsidRDefault="00635582" w:rsidP="00635582">
      <w:pPr>
        <w:pStyle w:val="a4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8"/>
        <w:gridCol w:w="1230"/>
        <w:gridCol w:w="895"/>
        <w:gridCol w:w="1097"/>
        <w:gridCol w:w="631"/>
        <w:gridCol w:w="640"/>
        <w:gridCol w:w="1869"/>
        <w:gridCol w:w="1441"/>
      </w:tblGrid>
      <w:tr w:rsidR="00635582" w:rsidTr="00543EEF">
        <w:tc>
          <w:tcPr>
            <w:tcW w:w="1689" w:type="dxa"/>
            <w:vMerge w:val="restart"/>
          </w:tcPr>
          <w:p w:rsidR="00635582" w:rsidRDefault="00635582" w:rsidP="00543EEF">
            <w:pPr>
              <w:pStyle w:val="a4"/>
              <w:jc w:val="center"/>
            </w:pPr>
            <w:r>
              <w:t>Образовател</w:t>
            </w:r>
            <w:r>
              <w:t>ь</w:t>
            </w:r>
            <w:r>
              <w:t>ное учреждение</w:t>
            </w:r>
          </w:p>
        </w:tc>
        <w:tc>
          <w:tcPr>
            <w:tcW w:w="1179" w:type="dxa"/>
            <w:vMerge w:val="restart"/>
          </w:tcPr>
          <w:p w:rsidR="00635582" w:rsidRDefault="00635582" w:rsidP="00543EEF">
            <w:pPr>
              <w:pStyle w:val="a4"/>
              <w:jc w:val="center"/>
            </w:pPr>
            <w:r>
              <w:t>Кол-во обращ</w:t>
            </w:r>
            <w:r>
              <w:t>е</w:t>
            </w:r>
            <w:r>
              <w:t>ний</w:t>
            </w:r>
          </w:p>
        </w:tc>
        <w:tc>
          <w:tcPr>
            <w:tcW w:w="5324" w:type="dxa"/>
            <w:gridSpan w:val="5"/>
          </w:tcPr>
          <w:p w:rsidR="00635582" w:rsidRDefault="00635582" w:rsidP="00543EEF">
            <w:pPr>
              <w:pStyle w:val="a4"/>
              <w:jc w:val="center"/>
            </w:pPr>
            <w:r>
              <w:t>Участники примирительных процедур</w:t>
            </w:r>
          </w:p>
        </w:tc>
        <w:tc>
          <w:tcPr>
            <w:tcW w:w="1379" w:type="dxa"/>
            <w:vMerge w:val="restart"/>
          </w:tcPr>
          <w:p w:rsidR="00635582" w:rsidRDefault="00635582" w:rsidP="00543EEF">
            <w:pPr>
              <w:pStyle w:val="a4"/>
              <w:jc w:val="center"/>
            </w:pPr>
            <w:r>
              <w:t>Результат (кол-во з</w:t>
            </w:r>
            <w:r>
              <w:t>а</w:t>
            </w:r>
            <w:r>
              <w:t>ключенных договоров, повторные факты о</w:t>
            </w:r>
            <w:r>
              <w:t>б</w:t>
            </w:r>
            <w:r>
              <w:t>ращений и т.д.)</w:t>
            </w:r>
          </w:p>
        </w:tc>
      </w:tr>
      <w:tr w:rsidR="00635582" w:rsidTr="00543EEF">
        <w:trPr>
          <w:trHeight w:val="507"/>
        </w:trPr>
        <w:tc>
          <w:tcPr>
            <w:tcW w:w="1689" w:type="dxa"/>
            <w:vMerge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179" w:type="dxa"/>
            <w:vMerge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819" w:type="dxa"/>
            <w:vMerge w:val="restart"/>
          </w:tcPr>
          <w:p w:rsidR="00635582" w:rsidRDefault="00635582" w:rsidP="00543EEF">
            <w:pPr>
              <w:pStyle w:val="a4"/>
              <w:jc w:val="center"/>
            </w:pPr>
            <w:r>
              <w:t>Жер</w:t>
            </w:r>
            <w:r>
              <w:t>т</w:t>
            </w:r>
            <w:r>
              <w:t>ва</w:t>
            </w:r>
          </w:p>
        </w:tc>
        <w:tc>
          <w:tcPr>
            <w:tcW w:w="1743" w:type="dxa"/>
            <w:vMerge w:val="restart"/>
          </w:tcPr>
          <w:p w:rsidR="00635582" w:rsidRDefault="00635582" w:rsidP="00543EEF">
            <w:pPr>
              <w:pStyle w:val="a4"/>
              <w:jc w:val="center"/>
            </w:pPr>
            <w:r>
              <w:t>Правона-</w:t>
            </w:r>
          </w:p>
          <w:p w:rsidR="00635582" w:rsidRDefault="00635582" w:rsidP="00543EEF">
            <w:pPr>
              <w:pStyle w:val="a4"/>
              <w:jc w:val="center"/>
            </w:pPr>
            <w:r>
              <w:t>руш</w:t>
            </w:r>
            <w:r>
              <w:t>и</w:t>
            </w:r>
            <w:r>
              <w:t>тель</w:t>
            </w:r>
          </w:p>
        </w:tc>
        <w:tc>
          <w:tcPr>
            <w:tcW w:w="976" w:type="dxa"/>
            <w:gridSpan w:val="2"/>
          </w:tcPr>
          <w:p w:rsidR="00635582" w:rsidRDefault="00635582" w:rsidP="00543EEF">
            <w:pPr>
              <w:pStyle w:val="a4"/>
              <w:jc w:val="center"/>
            </w:pPr>
            <w:r>
              <w:t>Медиат</w:t>
            </w:r>
            <w:r>
              <w:t>о</w:t>
            </w:r>
            <w:r>
              <w:t>ры</w:t>
            </w:r>
          </w:p>
        </w:tc>
        <w:tc>
          <w:tcPr>
            <w:tcW w:w="1786" w:type="dxa"/>
            <w:vMerge w:val="restart"/>
          </w:tcPr>
          <w:p w:rsidR="00473EC1" w:rsidRDefault="00635582" w:rsidP="00543EEF">
            <w:pPr>
              <w:pStyle w:val="a4"/>
              <w:jc w:val="center"/>
            </w:pPr>
            <w:r>
              <w:t xml:space="preserve">Другие </w:t>
            </w:r>
          </w:p>
          <w:p w:rsidR="00635582" w:rsidRDefault="00635582" w:rsidP="00543EEF">
            <w:pPr>
              <w:pStyle w:val="a4"/>
              <w:jc w:val="center"/>
            </w:pPr>
            <w:bookmarkStart w:id="0" w:name="_GoBack"/>
            <w:bookmarkEnd w:id="0"/>
            <w:r>
              <w:t>участн</w:t>
            </w:r>
            <w:r>
              <w:t>и</w:t>
            </w:r>
            <w:r>
              <w:t>ки</w:t>
            </w:r>
          </w:p>
          <w:p w:rsidR="00473EC1" w:rsidRDefault="00635582" w:rsidP="00543EEF">
            <w:pPr>
              <w:pStyle w:val="a4"/>
              <w:jc w:val="center"/>
            </w:pPr>
            <w:proofErr w:type="gramStart"/>
            <w:r>
              <w:t xml:space="preserve">(педагоги, </w:t>
            </w:r>
            <w:proofErr w:type="gramEnd"/>
          </w:p>
          <w:p w:rsidR="00635582" w:rsidRDefault="00635582" w:rsidP="00543EEF">
            <w:pPr>
              <w:pStyle w:val="a4"/>
              <w:jc w:val="center"/>
            </w:pPr>
            <w:r>
              <w:t>род</w:t>
            </w:r>
            <w:r>
              <w:t>и</w:t>
            </w:r>
            <w:r>
              <w:t xml:space="preserve">тели, </w:t>
            </w:r>
          </w:p>
          <w:p w:rsidR="00635582" w:rsidRDefault="00635582" w:rsidP="00543EEF">
            <w:pPr>
              <w:pStyle w:val="a4"/>
              <w:jc w:val="center"/>
            </w:pPr>
            <w:r>
              <w:t>др. заинтерес</w:t>
            </w:r>
            <w:r>
              <w:t>о</w:t>
            </w:r>
            <w:r>
              <w:t>ванные лица)</w:t>
            </w:r>
          </w:p>
        </w:tc>
        <w:tc>
          <w:tcPr>
            <w:tcW w:w="1379" w:type="dxa"/>
            <w:vMerge/>
          </w:tcPr>
          <w:p w:rsidR="00635582" w:rsidRDefault="00635582" w:rsidP="00543EEF">
            <w:pPr>
              <w:pStyle w:val="a4"/>
              <w:jc w:val="center"/>
            </w:pPr>
          </w:p>
        </w:tc>
      </w:tr>
      <w:tr w:rsidR="00635582" w:rsidTr="00543EEF">
        <w:trPr>
          <w:cantSplit/>
          <w:trHeight w:val="1275"/>
        </w:trPr>
        <w:tc>
          <w:tcPr>
            <w:tcW w:w="1689" w:type="dxa"/>
            <w:vMerge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179" w:type="dxa"/>
            <w:vMerge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819" w:type="dxa"/>
            <w:vMerge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743" w:type="dxa"/>
            <w:vMerge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480" w:type="dxa"/>
            <w:textDirection w:val="tbRl"/>
          </w:tcPr>
          <w:p w:rsidR="00635582" w:rsidRDefault="00635582" w:rsidP="00543EEF">
            <w:pPr>
              <w:pStyle w:val="a4"/>
              <w:ind w:left="113" w:right="113"/>
              <w:jc w:val="center"/>
            </w:pPr>
            <w:r>
              <w:t>дети</w:t>
            </w:r>
          </w:p>
        </w:tc>
        <w:tc>
          <w:tcPr>
            <w:tcW w:w="496" w:type="dxa"/>
            <w:textDirection w:val="tbRl"/>
          </w:tcPr>
          <w:p w:rsidR="00635582" w:rsidRDefault="00635582" w:rsidP="00543EEF">
            <w:pPr>
              <w:pStyle w:val="a4"/>
              <w:ind w:left="113" w:right="113"/>
              <w:jc w:val="center"/>
            </w:pPr>
            <w:r>
              <w:t>взрослые</w:t>
            </w:r>
          </w:p>
        </w:tc>
        <w:tc>
          <w:tcPr>
            <w:tcW w:w="1786" w:type="dxa"/>
            <w:vMerge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379" w:type="dxa"/>
            <w:vMerge/>
          </w:tcPr>
          <w:p w:rsidR="00635582" w:rsidRDefault="00635582" w:rsidP="00543EEF">
            <w:pPr>
              <w:pStyle w:val="a4"/>
              <w:jc w:val="center"/>
            </w:pPr>
          </w:p>
        </w:tc>
      </w:tr>
      <w:tr w:rsidR="00635582" w:rsidTr="00543EEF">
        <w:tc>
          <w:tcPr>
            <w:tcW w:w="1689" w:type="dxa"/>
          </w:tcPr>
          <w:p w:rsidR="00635582" w:rsidRDefault="00635582" w:rsidP="00543EEF">
            <w:pPr>
              <w:pStyle w:val="a4"/>
              <w:jc w:val="both"/>
            </w:pPr>
            <w:r>
              <w:t>1.</w:t>
            </w:r>
          </w:p>
        </w:tc>
        <w:tc>
          <w:tcPr>
            <w:tcW w:w="1179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819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743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480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496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786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379" w:type="dxa"/>
          </w:tcPr>
          <w:p w:rsidR="00635582" w:rsidRDefault="00635582" w:rsidP="00543EEF">
            <w:pPr>
              <w:pStyle w:val="a4"/>
              <w:jc w:val="center"/>
            </w:pPr>
          </w:p>
        </w:tc>
      </w:tr>
      <w:tr w:rsidR="00635582" w:rsidTr="00543EEF">
        <w:tc>
          <w:tcPr>
            <w:tcW w:w="1689" w:type="dxa"/>
          </w:tcPr>
          <w:p w:rsidR="00635582" w:rsidRDefault="00635582" w:rsidP="00543EEF">
            <w:pPr>
              <w:pStyle w:val="a4"/>
            </w:pPr>
            <w:r>
              <w:t>2.</w:t>
            </w:r>
          </w:p>
        </w:tc>
        <w:tc>
          <w:tcPr>
            <w:tcW w:w="1179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819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743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480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496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786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379" w:type="dxa"/>
          </w:tcPr>
          <w:p w:rsidR="00635582" w:rsidRDefault="00635582" w:rsidP="00543EEF">
            <w:pPr>
              <w:pStyle w:val="a4"/>
              <w:jc w:val="center"/>
            </w:pPr>
          </w:p>
        </w:tc>
      </w:tr>
      <w:tr w:rsidR="00635582" w:rsidTr="00543EEF">
        <w:tc>
          <w:tcPr>
            <w:tcW w:w="1689" w:type="dxa"/>
          </w:tcPr>
          <w:p w:rsidR="00635582" w:rsidRDefault="00635582" w:rsidP="00543EEF">
            <w:pPr>
              <w:pStyle w:val="a4"/>
            </w:pPr>
            <w:r>
              <w:t>3.                   …</w:t>
            </w:r>
          </w:p>
        </w:tc>
        <w:tc>
          <w:tcPr>
            <w:tcW w:w="1179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819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743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480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496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786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379" w:type="dxa"/>
          </w:tcPr>
          <w:p w:rsidR="00635582" w:rsidRDefault="00635582" w:rsidP="00543EEF">
            <w:pPr>
              <w:pStyle w:val="a4"/>
              <w:jc w:val="center"/>
            </w:pPr>
          </w:p>
        </w:tc>
      </w:tr>
      <w:tr w:rsidR="00635582" w:rsidTr="00543EEF">
        <w:tc>
          <w:tcPr>
            <w:tcW w:w="1689" w:type="dxa"/>
          </w:tcPr>
          <w:p w:rsidR="00635582" w:rsidRDefault="00635582" w:rsidP="00543EEF">
            <w:pPr>
              <w:pStyle w:val="a4"/>
            </w:pPr>
            <w:r>
              <w:t>13.</w:t>
            </w:r>
          </w:p>
        </w:tc>
        <w:tc>
          <w:tcPr>
            <w:tcW w:w="1179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819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743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480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496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786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379" w:type="dxa"/>
          </w:tcPr>
          <w:p w:rsidR="00635582" w:rsidRDefault="00635582" w:rsidP="00543EEF">
            <w:pPr>
              <w:pStyle w:val="a4"/>
              <w:jc w:val="center"/>
            </w:pPr>
          </w:p>
        </w:tc>
      </w:tr>
      <w:tr w:rsidR="00635582" w:rsidTr="00543EEF">
        <w:tc>
          <w:tcPr>
            <w:tcW w:w="1689" w:type="dxa"/>
          </w:tcPr>
          <w:p w:rsidR="00635582" w:rsidRPr="00C913A9" w:rsidRDefault="00635582" w:rsidP="00543EEF">
            <w:pPr>
              <w:pStyle w:val="a4"/>
              <w:jc w:val="right"/>
              <w:rPr>
                <w:b/>
              </w:rPr>
            </w:pPr>
            <w:r w:rsidRPr="00C913A9">
              <w:rPr>
                <w:b/>
              </w:rPr>
              <w:t>ИТОГО</w:t>
            </w:r>
          </w:p>
        </w:tc>
        <w:tc>
          <w:tcPr>
            <w:tcW w:w="1179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819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743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480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496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786" w:type="dxa"/>
          </w:tcPr>
          <w:p w:rsidR="00635582" w:rsidRDefault="00635582" w:rsidP="00543EEF">
            <w:pPr>
              <w:pStyle w:val="a4"/>
              <w:jc w:val="center"/>
            </w:pPr>
          </w:p>
        </w:tc>
        <w:tc>
          <w:tcPr>
            <w:tcW w:w="1379" w:type="dxa"/>
          </w:tcPr>
          <w:p w:rsidR="00635582" w:rsidRDefault="00635582" w:rsidP="00543EEF">
            <w:pPr>
              <w:pStyle w:val="a4"/>
              <w:jc w:val="center"/>
            </w:pPr>
          </w:p>
        </w:tc>
      </w:tr>
    </w:tbl>
    <w:p w:rsidR="001A780B" w:rsidRPr="00B338CF" w:rsidRDefault="001A780B" w:rsidP="001A78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42F" w:rsidRDefault="00B50E7C" w:rsidP="001A78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A4697">
        <w:rPr>
          <w:rFonts w:ascii="Times New Roman" w:hAnsi="Times New Roman"/>
          <w:sz w:val="26"/>
          <w:szCs w:val="26"/>
        </w:rPr>
        <w:t xml:space="preserve"> </w:t>
      </w:r>
    </w:p>
    <w:p w:rsidR="001A780B" w:rsidRPr="00473EC1" w:rsidRDefault="00F014C9" w:rsidP="001A78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EC1">
        <w:rPr>
          <w:rFonts w:ascii="Times New Roman" w:hAnsi="Times New Roman"/>
          <w:sz w:val="24"/>
          <w:szCs w:val="24"/>
        </w:rPr>
        <w:t>Отчет составил ____________________________                      ____________</w:t>
      </w:r>
    </w:p>
    <w:p w:rsidR="00F014C9" w:rsidRPr="00473EC1" w:rsidRDefault="00F014C9" w:rsidP="001A78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EC1">
        <w:rPr>
          <w:rFonts w:ascii="Times New Roman" w:hAnsi="Times New Roman"/>
          <w:sz w:val="24"/>
          <w:szCs w:val="24"/>
        </w:rPr>
        <w:t xml:space="preserve">                                (должность, ФИО)                </w:t>
      </w:r>
      <w:r w:rsidR="00473EC1">
        <w:rPr>
          <w:rFonts w:ascii="Times New Roman" w:hAnsi="Times New Roman"/>
          <w:sz w:val="24"/>
          <w:szCs w:val="24"/>
        </w:rPr>
        <w:t xml:space="preserve">                            </w:t>
      </w:r>
      <w:r w:rsidRPr="00473EC1">
        <w:rPr>
          <w:rFonts w:ascii="Times New Roman" w:hAnsi="Times New Roman"/>
          <w:sz w:val="24"/>
          <w:szCs w:val="24"/>
        </w:rPr>
        <w:t>(подпись)</w:t>
      </w:r>
    </w:p>
    <w:sectPr w:rsidR="00F014C9" w:rsidRPr="00473EC1" w:rsidSect="00C66A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A4"/>
    <w:multiLevelType w:val="hybridMultilevel"/>
    <w:tmpl w:val="44DE7068"/>
    <w:lvl w:ilvl="0" w:tplc="CC14D52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A11C59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23068B"/>
    <w:multiLevelType w:val="multilevel"/>
    <w:tmpl w:val="AE349E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4D851D31"/>
    <w:multiLevelType w:val="multilevel"/>
    <w:tmpl w:val="E6BAF5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8238EC"/>
    <w:multiLevelType w:val="hybridMultilevel"/>
    <w:tmpl w:val="25580452"/>
    <w:lvl w:ilvl="0" w:tplc="1E18D47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5F3B69"/>
    <w:multiLevelType w:val="hybridMultilevel"/>
    <w:tmpl w:val="81C01078"/>
    <w:lvl w:ilvl="0" w:tplc="DDE4371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5C16C9"/>
    <w:multiLevelType w:val="multilevel"/>
    <w:tmpl w:val="BD9ED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96"/>
    <w:rsid w:val="00022E41"/>
    <w:rsid w:val="000B40A6"/>
    <w:rsid w:val="000C5E3D"/>
    <w:rsid w:val="00100980"/>
    <w:rsid w:val="0011057B"/>
    <w:rsid w:val="001116A0"/>
    <w:rsid w:val="00157BF6"/>
    <w:rsid w:val="00164E1D"/>
    <w:rsid w:val="001669A5"/>
    <w:rsid w:val="001A780B"/>
    <w:rsid w:val="001D3CFE"/>
    <w:rsid w:val="002032F3"/>
    <w:rsid w:val="00274B12"/>
    <w:rsid w:val="00277C37"/>
    <w:rsid w:val="002809F6"/>
    <w:rsid w:val="002A65BE"/>
    <w:rsid w:val="002E649A"/>
    <w:rsid w:val="00355DA2"/>
    <w:rsid w:val="0036577E"/>
    <w:rsid w:val="003D0ED3"/>
    <w:rsid w:val="003E1026"/>
    <w:rsid w:val="003E35F7"/>
    <w:rsid w:val="003E74D4"/>
    <w:rsid w:val="004072ED"/>
    <w:rsid w:val="00407CC0"/>
    <w:rsid w:val="00425674"/>
    <w:rsid w:val="00426512"/>
    <w:rsid w:val="00442017"/>
    <w:rsid w:val="004664BB"/>
    <w:rsid w:val="00473EC1"/>
    <w:rsid w:val="004A34ED"/>
    <w:rsid w:val="004A46AD"/>
    <w:rsid w:val="004B112D"/>
    <w:rsid w:val="004C2CCB"/>
    <w:rsid w:val="004D2539"/>
    <w:rsid w:val="004D436A"/>
    <w:rsid w:val="00521C25"/>
    <w:rsid w:val="00543EEF"/>
    <w:rsid w:val="00547450"/>
    <w:rsid w:val="00556BED"/>
    <w:rsid w:val="005F12D8"/>
    <w:rsid w:val="00633F0C"/>
    <w:rsid w:val="00635582"/>
    <w:rsid w:val="0066016C"/>
    <w:rsid w:val="00693496"/>
    <w:rsid w:val="006D2C46"/>
    <w:rsid w:val="00721B63"/>
    <w:rsid w:val="0072529A"/>
    <w:rsid w:val="00766695"/>
    <w:rsid w:val="00770B6C"/>
    <w:rsid w:val="0077704C"/>
    <w:rsid w:val="007B02C0"/>
    <w:rsid w:val="007C1855"/>
    <w:rsid w:val="007F10E2"/>
    <w:rsid w:val="007F4F37"/>
    <w:rsid w:val="008570A0"/>
    <w:rsid w:val="008572CE"/>
    <w:rsid w:val="00865C1A"/>
    <w:rsid w:val="00865E07"/>
    <w:rsid w:val="00867657"/>
    <w:rsid w:val="008874BE"/>
    <w:rsid w:val="0089242C"/>
    <w:rsid w:val="00893E4A"/>
    <w:rsid w:val="008A19D3"/>
    <w:rsid w:val="008C0D01"/>
    <w:rsid w:val="008E40CD"/>
    <w:rsid w:val="00914E5E"/>
    <w:rsid w:val="009168F8"/>
    <w:rsid w:val="009915FF"/>
    <w:rsid w:val="009B78C6"/>
    <w:rsid w:val="00A97D89"/>
    <w:rsid w:val="00AD01E4"/>
    <w:rsid w:val="00AF3DCC"/>
    <w:rsid w:val="00B22D01"/>
    <w:rsid w:val="00B338CF"/>
    <w:rsid w:val="00B50E7C"/>
    <w:rsid w:val="00B572B8"/>
    <w:rsid w:val="00B77613"/>
    <w:rsid w:val="00BA3912"/>
    <w:rsid w:val="00BA4697"/>
    <w:rsid w:val="00BA5AB7"/>
    <w:rsid w:val="00C0071C"/>
    <w:rsid w:val="00C1348A"/>
    <w:rsid w:val="00C2042F"/>
    <w:rsid w:val="00C40B40"/>
    <w:rsid w:val="00C50CFE"/>
    <w:rsid w:val="00C52AE6"/>
    <w:rsid w:val="00C621E2"/>
    <w:rsid w:val="00C66AE6"/>
    <w:rsid w:val="00C87011"/>
    <w:rsid w:val="00CF65C1"/>
    <w:rsid w:val="00D03376"/>
    <w:rsid w:val="00D1396D"/>
    <w:rsid w:val="00D1662A"/>
    <w:rsid w:val="00D61EC2"/>
    <w:rsid w:val="00DF716E"/>
    <w:rsid w:val="00E17934"/>
    <w:rsid w:val="00E42598"/>
    <w:rsid w:val="00E44434"/>
    <w:rsid w:val="00E62616"/>
    <w:rsid w:val="00E71943"/>
    <w:rsid w:val="00EB0EC4"/>
    <w:rsid w:val="00EE1700"/>
    <w:rsid w:val="00F01147"/>
    <w:rsid w:val="00F014C9"/>
    <w:rsid w:val="00F0563C"/>
    <w:rsid w:val="00FE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2016-11-30T03:57:00Z</cp:lastPrinted>
  <dcterms:created xsi:type="dcterms:W3CDTF">2016-12-08T08:54:00Z</dcterms:created>
  <dcterms:modified xsi:type="dcterms:W3CDTF">2016-12-09T06:58:00Z</dcterms:modified>
</cp:coreProperties>
</file>