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E8" w:rsidRDefault="003A2EE8" w:rsidP="005E7A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376FE0">
        <w:rPr>
          <w:rFonts w:eastAsia="Times New Roman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3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ПОСТАНОВЛЕНИЕ№91</w:t>
      </w:r>
    </w:p>
    <w:p w:rsidR="007C14B7" w:rsidRPr="00376FE0" w:rsidRDefault="007C14B7" w:rsidP="007C14B7">
      <w:pPr>
        <w:spacing w:after="0" w:line="240" w:lineRule="auto"/>
        <w:rPr>
          <w:rFonts w:ascii="Times New Roman" w:hAnsi="Times New Roman"/>
          <w:sz w:val="24"/>
          <w:u w:val="single"/>
          <w:lang w:eastAsia="ru-RU"/>
        </w:rPr>
      </w:pP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декабря 2015 года, 10-3</w:t>
      </w:r>
      <w:r w:rsidRPr="00EC5A52">
        <w:rPr>
          <w:rFonts w:ascii="Times New Roman" w:hAnsi="Times New Roman"/>
          <w:sz w:val="24"/>
          <w:szCs w:val="24"/>
          <w:lang w:eastAsia="ru-RU"/>
        </w:rPr>
        <w:t>0 ч.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г. Нефтеюганск, 3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 xml:space="preserve">., д. 21,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>. 430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hAnsi="Times New Roman"/>
          <w:sz w:val="24"/>
          <w:szCs w:val="24"/>
          <w:lang w:eastAsia="ru-RU"/>
        </w:rPr>
        <w:t>(сведения об участниках заседания указаны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протоколе №47</w:t>
      </w:r>
      <w:proofErr w:type="gramEnd"/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7C14B7" w:rsidRDefault="007C14B7" w:rsidP="007C14B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4B7" w:rsidRPr="00776A5A" w:rsidRDefault="007C14B7" w:rsidP="007C14B7">
      <w:pPr>
        <w:pStyle w:val="a3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776A5A">
        <w:rPr>
          <w:rFonts w:ascii="Times New Roman" w:eastAsiaTheme="minorEastAsia" w:hAnsi="Times New Roman"/>
          <w:b/>
          <w:sz w:val="26"/>
          <w:szCs w:val="26"/>
        </w:rPr>
        <w:t xml:space="preserve">Об обеспечении жилыми помещениями детей-сирот и детей, 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76A5A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оставшихся без попечения родителей, лиц из числа детей-сирот 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76A5A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и детей, оставшихся без попечения родителей, в том числе 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76A5A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об исполнении исполнительных  документов о предоставлении 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76A5A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жилья детям - сирот и детям, оставшимся без попечения родителей, </w:t>
      </w:r>
    </w:p>
    <w:p w:rsidR="007C14B7" w:rsidRPr="00BB5F7D" w:rsidRDefault="007C14B7" w:rsidP="007C14B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6A5A">
        <w:rPr>
          <w:rFonts w:ascii="Times New Roman" w:hAnsi="Times New Roman"/>
          <w:b/>
          <w:sz w:val="26"/>
          <w:szCs w:val="26"/>
        </w:rPr>
        <w:t>лицам из числа детей-сирот и детей, оставшихся без попечения родителей</w:t>
      </w:r>
    </w:p>
    <w:p w:rsidR="007C14B7" w:rsidRDefault="007C14B7" w:rsidP="007C14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14B7" w:rsidRPr="003332E2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На начало 2015 года в комитете по опеке и попечительству Нефтеюганского района в списке детей-сирот и детей, оставшихся без попечения родителей, лиц из числа детей-сирот и детей, оставшихся без попечения родителей, которые подл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жат обеспечению жилыми  помещениями специализированного жилищного фонда по договорам найма специализированных жилых помещений на территории Нефтеюганского района состояло 40 человек (в возрасте от 14 лет), из них  подл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жали</w:t>
      </w:r>
      <w:proofErr w:type="gram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 обесп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ечению в 2014 году 10  человек, в 2015 году – 13 человек.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В настоящее время 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шается вопрос об исключении из 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списка 1 человека,   в связи с утратой оснований, дающих право на предоставление жилого помещения специализированного жилого фонда по договору найма специализированного ж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лого помещения  в соответствии с  п.3.4 ст.5 Закона ХМАО-Югры от 09.06.2009  № 86-оз «О дополнительных гарантиях и дополнительных мерах социальной по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держки детей-сирот и детей, оставшихся без попечения родителей, лиц из</w:t>
      </w:r>
      <w:proofErr w:type="gram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числа детей-сирот и детей, оставшихся без попечения родителей, усыновителей, прие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ных родителей </w:t>
      </w:r>
      <w:proofErr w:type="gram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Ханты-Мансийском</w:t>
      </w:r>
      <w:proofErr w:type="gram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автономном округе – Югре».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В 2014 году из бюджета Ханты-Мансийского автономного округа – Югры муниц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пальному образованию Нефтеюганский район на обеспечение детей-сирот и детей, оставшихся без попечения родителей, выделено субвенций в размере 17047,30 тыс. рублей,  освоено 16 943, 79 тыс. рублей, путём участия в долевом строительстве многоквартирных домов приобретены квартиры в </w:t>
      </w:r>
      <w:proofErr w:type="spell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gram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ойковский</w:t>
      </w:r>
      <w:proofErr w:type="spell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– 21  и  в </w:t>
      </w:r>
      <w:proofErr w:type="spell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сп.Салыме</w:t>
      </w:r>
      <w:proofErr w:type="spell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 – 4.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proofErr w:type="gram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В 2015 году за счет средств окружного бюджета было приобретено 10 жилых помещений для детей-сирот и детей, оставшихся без попечения родителей, а также лиц из их числа, путем участия в долевом строительстве многоквартирных домов на сумму  17 252,4 тыс. рублей (средства автономного округа – 15 598,1 тыс. ру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лей, средства местного бюджета – 1 654,3 тыс. рублей):</w:t>
      </w:r>
      <w:proofErr w:type="gramEnd"/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- 13.03.2015 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заключен 1 муниципальный контракт на участие в долевом строитель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стве многоквартирного дома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gramStart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ойковский</w:t>
      </w:r>
      <w:proofErr w:type="spellEnd"/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 с условием приобретения 9 жилых помещений для детей-сирот и детей, оставшихся без попечения родит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лей, лицам из их числа (срок ввода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дома в эксплуатацию 31.12.2015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);     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- 09.06.2015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 1 муниципальный контракт на участие в долевом строительс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тве многоквартирного дома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Пойк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овский 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с условием приобретения 1 жилого помещения для детей-сирот и детей, оставшихся без попечения родит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лей, лицам из их числа (срок ввода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дома в эксплуатацию 31.12.2015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связи с тем, что на начало 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2015г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 в вышеуказанном списке состояло 10 человек, а в течение 9 месяцев дополнительно были включены в список еще 3 ч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ловека, отделом по опеке и попечительству была направлена заявка о необходим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сти дополнительного финансирования на приобретение 3 жилых помещений.  В р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зультате дополнительно 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оведённых торгов 30.11.2015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заключено два мун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ципальных контракта на участие в долевом строительстве многоквартирного 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Пойковский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с условием приобретения 2 жилых помещений для детей-сирот и детей, оставшихся без попечения родителей, лицам из их числа (срок ввода дома в экс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плуатацию 31.12.2015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общую сумму 3 119 622 рубля.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Причинами не предоставления жилых помещений лицам из числа детей-сирот и детей, оставшихся без попечения родителей, является несвоевременное з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вершение строительства, предусмотренного условиями заключенных муниципал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ных контрактов. Специалистами департамента имущественных отношений Нефт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 велась  претензионная работа с застройщиками.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В отдел по опеке и попечительству администрации Нефтеюганского района в 2015 году исполнительных документов о предоставлении лицам данной катег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рии жилых помещений не поступало.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ab/>
        <w:t>В  связи с вводом в эксплуатацию многокварт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ирного дома в 3 микрорайоне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Пойковский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 на заседани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жилищной комиссии 27.11.2015 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 три жилых помещ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ния были распределены лицам из числа детей-сирот и детей, оставшихся без поп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 xml:space="preserve">чения родителей,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сегодняшний день 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Департаментом Имущественных отнош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ний ведётся работа по заключению договоров специализированного найма.</w:t>
      </w:r>
    </w:p>
    <w:p w:rsidR="007C14B7" w:rsidRPr="00F153BF" w:rsidRDefault="007C14B7" w:rsidP="007C14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целях обеспечения жилыми помещениями детей-сирот и детей, оставши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ся без попечения родителей, лиц из числа детей-сирот и детей, оставшихся без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печения родителей, имеющих право на предоставление жилых помещений, терр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ториальная комиссия  </w:t>
      </w:r>
      <w:proofErr w:type="gramStart"/>
      <w:r w:rsidRPr="00F153BF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153BF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Pr="00F153BF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Pr="00F153BF">
        <w:rPr>
          <w:rFonts w:ascii="Times New Roman" w:hAnsi="Times New Roman"/>
          <w:sz w:val="26"/>
          <w:szCs w:val="26"/>
        </w:rPr>
        <w:t>Департаменту имущественных отношений Нефтеюганского района орган</w:t>
      </w:r>
      <w:r w:rsidRPr="00F153BF">
        <w:rPr>
          <w:rFonts w:ascii="Times New Roman" w:hAnsi="Times New Roman"/>
          <w:sz w:val="26"/>
          <w:szCs w:val="26"/>
        </w:rPr>
        <w:t>и</w:t>
      </w:r>
      <w:r w:rsidRPr="00F153BF">
        <w:rPr>
          <w:rFonts w:ascii="Times New Roman" w:hAnsi="Times New Roman"/>
          <w:sz w:val="26"/>
          <w:szCs w:val="26"/>
        </w:rPr>
        <w:t>зовать работу с потенциальными застройщиками по формированию предложений к продаже жилых помещений для детей-сирот и детей, оставшихся без попечения родителей, лиц из числа детей – сирот и детей, оставшихся без попечения родит</w:t>
      </w:r>
      <w:r w:rsidRPr="00F153BF">
        <w:rPr>
          <w:rFonts w:ascii="Times New Roman" w:hAnsi="Times New Roman"/>
          <w:sz w:val="26"/>
          <w:szCs w:val="26"/>
        </w:rPr>
        <w:t>е</w:t>
      </w:r>
      <w:r w:rsidRPr="00F153BF">
        <w:rPr>
          <w:rFonts w:ascii="Times New Roman" w:hAnsi="Times New Roman"/>
          <w:sz w:val="26"/>
          <w:szCs w:val="26"/>
        </w:rPr>
        <w:t>лей, соответствующих правилам и нормам, установленным законодательствам Ро</w:t>
      </w:r>
      <w:r w:rsidRPr="00F153BF">
        <w:rPr>
          <w:rFonts w:ascii="Times New Roman" w:hAnsi="Times New Roman"/>
          <w:sz w:val="26"/>
          <w:szCs w:val="26"/>
        </w:rPr>
        <w:t>с</w:t>
      </w:r>
      <w:r w:rsidRPr="00F153BF">
        <w:rPr>
          <w:rFonts w:ascii="Times New Roman" w:hAnsi="Times New Roman"/>
          <w:sz w:val="26"/>
          <w:szCs w:val="26"/>
        </w:rPr>
        <w:t>сийской Федерации и ХМАО-Югры</w:t>
      </w:r>
    </w:p>
    <w:p w:rsidR="007C14B7" w:rsidRPr="00F153BF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153BF">
        <w:rPr>
          <w:rFonts w:ascii="Times New Roman" w:hAnsi="Times New Roman"/>
          <w:sz w:val="26"/>
          <w:szCs w:val="26"/>
        </w:rPr>
        <w:t xml:space="preserve">Срок: </w:t>
      </w:r>
      <w:r w:rsidRPr="00F153BF">
        <w:rPr>
          <w:rFonts w:ascii="Times New Roman" w:hAnsi="Times New Roman"/>
          <w:sz w:val="26"/>
          <w:szCs w:val="26"/>
          <w:u w:val="single"/>
        </w:rPr>
        <w:t>до 25 марта 2016 года</w:t>
      </w:r>
      <w:r w:rsidRPr="00F153BF">
        <w:rPr>
          <w:rFonts w:ascii="Times New Roman" w:hAnsi="Times New Roman"/>
          <w:sz w:val="26"/>
          <w:szCs w:val="26"/>
        </w:rPr>
        <w:t>.</w:t>
      </w: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Отделу по опеке и попечительству (</w:t>
      </w:r>
      <w:proofErr w:type="spellStart"/>
      <w:r>
        <w:rPr>
          <w:rFonts w:ascii="Times New Roman" w:hAnsi="Times New Roman"/>
          <w:sz w:val="26"/>
          <w:szCs w:val="26"/>
        </w:rPr>
        <w:t>В.В.Лобанкова</w:t>
      </w:r>
      <w:proofErr w:type="spellEnd"/>
      <w:r>
        <w:rPr>
          <w:rFonts w:ascii="Times New Roman" w:hAnsi="Times New Roman"/>
          <w:sz w:val="26"/>
          <w:szCs w:val="26"/>
        </w:rPr>
        <w:t>) организовать провед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ние в 1 квартале 2016 года рабочего совещания совместно с Департаментом им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щественных отношений Нефтеюганского района по вопросу обеспечения жильем детей-сирот и детей, оставшихся без попечения родителей, и лиц из их числа.</w:t>
      </w: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 w:rsidRPr="00F153BF">
        <w:rPr>
          <w:rFonts w:ascii="Times New Roman" w:hAnsi="Times New Roman"/>
          <w:sz w:val="26"/>
          <w:szCs w:val="26"/>
          <w:u w:val="single"/>
        </w:rPr>
        <w:t>до 1 апреля 2016 года.</w:t>
      </w: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Pr="003332E2" w:rsidRDefault="007C14B7" w:rsidP="007C14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332E2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      </w:t>
      </w:r>
      <w:proofErr w:type="spellStart"/>
      <w:r w:rsidRPr="003332E2">
        <w:rPr>
          <w:rFonts w:ascii="Times New Roman" w:hAnsi="Times New Roman"/>
          <w:sz w:val="26"/>
          <w:szCs w:val="26"/>
        </w:rPr>
        <w:t>В.Г.Михалев</w:t>
      </w:r>
      <w:proofErr w:type="spellEnd"/>
    </w:p>
    <w:p w:rsidR="00E00224" w:rsidRDefault="00E00224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C14B7" w:rsidSect="007C14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51F"/>
    <w:multiLevelType w:val="hybridMultilevel"/>
    <w:tmpl w:val="E61EC91E"/>
    <w:lvl w:ilvl="0" w:tplc="D3F02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05203"/>
    <w:multiLevelType w:val="hybridMultilevel"/>
    <w:tmpl w:val="2EBE8C1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0FA61171"/>
    <w:multiLevelType w:val="hybridMultilevel"/>
    <w:tmpl w:val="AD4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5376"/>
    <w:multiLevelType w:val="multilevel"/>
    <w:tmpl w:val="B5AE6A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DA751C9"/>
    <w:multiLevelType w:val="hybridMultilevel"/>
    <w:tmpl w:val="FEF6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575A0"/>
    <w:multiLevelType w:val="hybridMultilevel"/>
    <w:tmpl w:val="A6FCBA5A"/>
    <w:lvl w:ilvl="0" w:tplc="3C4C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62D3A"/>
    <w:multiLevelType w:val="hybridMultilevel"/>
    <w:tmpl w:val="55AC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65DF2"/>
    <w:rsid w:val="000B37DF"/>
    <w:rsid w:val="001459C1"/>
    <w:rsid w:val="001525CB"/>
    <w:rsid w:val="00152AEB"/>
    <w:rsid w:val="001A29AA"/>
    <w:rsid w:val="00292EE7"/>
    <w:rsid w:val="002C5E51"/>
    <w:rsid w:val="00370F4D"/>
    <w:rsid w:val="00380B1C"/>
    <w:rsid w:val="003A2EE8"/>
    <w:rsid w:val="0042750D"/>
    <w:rsid w:val="00430D10"/>
    <w:rsid w:val="004722B4"/>
    <w:rsid w:val="004979CB"/>
    <w:rsid w:val="004B4CCD"/>
    <w:rsid w:val="004B7AD3"/>
    <w:rsid w:val="004D4146"/>
    <w:rsid w:val="004D4D2A"/>
    <w:rsid w:val="005E611B"/>
    <w:rsid w:val="005E7AFE"/>
    <w:rsid w:val="00651B57"/>
    <w:rsid w:val="006803A1"/>
    <w:rsid w:val="00692C4A"/>
    <w:rsid w:val="00693542"/>
    <w:rsid w:val="0073086E"/>
    <w:rsid w:val="00784FC8"/>
    <w:rsid w:val="007A130C"/>
    <w:rsid w:val="007C0D3D"/>
    <w:rsid w:val="007C14B7"/>
    <w:rsid w:val="008566D6"/>
    <w:rsid w:val="008D0EE4"/>
    <w:rsid w:val="009142EF"/>
    <w:rsid w:val="00976150"/>
    <w:rsid w:val="00991954"/>
    <w:rsid w:val="00A83574"/>
    <w:rsid w:val="00A95A17"/>
    <w:rsid w:val="00B0499B"/>
    <w:rsid w:val="00C04558"/>
    <w:rsid w:val="00C6649B"/>
    <w:rsid w:val="00CE390B"/>
    <w:rsid w:val="00D11FF2"/>
    <w:rsid w:val="00D86035"/>
    <w:rsid w:val="00DF0EB2"/>
    <w:rsid w:val="00E00224"/>
    <w:rsid w:val="00E673B2"/>
    <w:rsid w:val="00ED3914"/>
    <w:rsid w:val="00F075DD"/>
    <w:rsid w:val="00F45081"/>
    <w:rsid w:val="00FA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2</cp:revision>
  <cp:lastPrinted>2015-08-01T09:42:00Z</cp:lastPrinted>
  <dcterms:created xsi:type="dcterms:W3CDTF">2015-12-29T12:05:00Z</dcterms:created>
  <dcterms:modified xsi:type="dcterms:W3CDTF">2015-12-29T12:05:00Z</dcterms:modified>
</cp:coreProperties>
</file>