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9"/>
        <w:ind w:left="1247"/>
        <w:jc w:val="center"/>
        <w:spacing w:after="0"/>
      </w:pPr>
      <w:r/>
      <w:bookmarkStart w:id="0" w:name="__DdeLink__9206_733755180"/>
      <w:r>
        <w:rPr>
          <w:rFonts w:ascii="Times New Roman" w:hAnsi="Times New Roman" w:cs="Times New Roman"/>
          <w:b/>
          <w:sz w:val="28"/>
          <w:szCs w:val="28"/>
        </w:rPr>
        <w:t xml:space="preserve">Реестр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туристических маршрутов, туров и экскурсионных программ по скандинавской ходьбе </w:t>
      </w:r>
      <w:r/>
    </w:p>
    <w:p>
      <w:pPr>
        <w:pStyle w:val="709"/>
        <w:ind w:left="124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граждан пожилого возраста (далее – туристические программы) </w:t>
      </w:r>
      <w:r/>
    </w:p>
    <w:p>
      <w:pPr>
        <w:pStyle w:val="709"/>
        <w:ind w:left="1247"/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</w:t>
      </w:r>
      <w:r/>
    </w:p>
    <w:p>
      <w:pPr>
        <w:pStyle w:val="709"/>
        <w:ind w:left="1247"/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14647" w:type="dxa"/>
        <w:tblInd w:w="13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1"/>
        <w:gridCol w:w="1968"/>
        <w:gridCol w:w="2045"/>
        <w:gridCol w:w="2783"/>
        <w:gridCol w:w="2310"/>
        <w:gridCol w:w="2208"/>
        <w:gridCol w:w="2802"/>
      </w:tblGrid>
      <w:tr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31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п\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Северная ходьба – новый образ жизни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реализуется при </w:t>
            </w:r>
            <w:r>
              <w:rPr>
                <w:rFonts w:ascii="Times New Roman" w:hAnsi="Times New Roman" w:cs="Times New Roman"/>
              </w:rPr>
              <w:t xml:space="preserve">грантовой</w:t>
            </w:r>
            <w:r>
              <w:rPr>
                <w:rFonts w:ascii="Times New Roman" w:hAnsi="Times New Roman" w:cs="Times New Roman"/>
              </w:rPr>
              <w:t xml:space="preserve"> поддержке </w:t>
            </w:r>
            <w:r>
              <w:rPr>
                <w:rFonts w:ascii="Times New Roman" w:hAnsi="Times New Roman" w:cs="Times New Roman"/>
              </w:rPr>
              <w:t xml:space="preserve">Минспорта</w:t>
            </w:r>
            <w:r>
              <w:rPr>
                <w:rFonts w:ascii="Times New Roman" w:hAnsi="Times New Roman" w:cs="Times New Roman"/>
              </w:rPr>
              <w:t xml:space="preserve"> России в рамках федерального проекта «Спорт - норма жизни».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проходят на территории стадиона спортивной школы «Виктория», со специалистом по адаптивной физической культуре. Группа составляет 27 человек.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скандинавской ходьбы составляет 235 метров, занятий проходят в период с мая по октябрь на бесплатной основе.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«Спортивная школа «Виктория»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8(34674)2-14-02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1" w:tooltip="mailto:ck-viktoriy@yandex.ru" w:history="1">
              <w:r>
                <w:rPr>
                  <w:rStyle w:val="663"/>
                  <w:rFonts w:ascii="Times New Roman" w:hAnsi="Times New Roman" w:cs="Times New Roman"/>
                  <w:lang w:val="en-US"/>
                </w:rPr>
                <w:t xml:space="preserve">ck-viktoriy@yandex.ru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</w:t>
            </w:r>
            <w:r>
              <w:rPr>
                <w:rFonts w:ascii="Times New Roman" w:hAnsi="Times New Roman" w:cs="Times New Roman"/>
              </w:rPr>
              <w:t xml:space="preserve">. Березово, Березовский район, ул. Авиаторов дом 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Кондинский 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Спортивно-оздоровительный природный комплекс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«Тропа здоровья»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тропе здоровья </w:t>
            </w:r>
            <w:r>
              <w:rPr>
                <w:rFonts w:ascii="Times New Roman" w:hAnsi="Times New Roman" w:cs="Times New Roman"/>
              </w:rPr>
              <w:t xml:space="preserve">созданы и успешно функционируют</w:t>
            </w:r>
            <w:r>
              <w:rPr>
                <w:rFonts w:ascii="Times New Roman" w:hAnsi="Times New Roman" w:cs="Times New Roman"/>
              </w:rPr>
              <w:t xml:space="preserve"> три маршрута, с тремя площадками – смотровой, спортивной и площадкой отдыха. Занятия по </w:t>
            </w:r>
            <w:r>
              <w:rPr>
                <w:rFonts w:ascii="Times New Roman" w:hAnsi="Times New Roman" w:cs="Times New Roman"/>
              </w:rPr>
              <w:t xml:space="preserve">скандинавской ходьбе осуществляются круглогодично для всех желающих, а искусственное освещение позволяет использовать ее в вечернее время.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группы – до 20 человек.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Востребо</w:t>
            </w:r>
            <w:r>
              <w:rPr>
                <w:rFonts w:ascii="Times New Roman" w:hAnsi="Times New Roman" w:cs="Times New Roman"/>
              </w:rPr>
              <w:t xml:space="preserve">ванность тропы здоровья определяется ежедневным использованием в течение всего календарного года для семейных прогулок, занятий по скандинавской ходьбе, проведению спортивно-массовых мероприятий для разных возрастных групп, экологических акций и экскурсий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руглогодично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родолжительность занятия – 2 часа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занятия осуществляется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бесплатно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Зубова Светлана Сергеевна,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бюджетного учреждения дополнительного </w:t>
            </w:r>
            <w:r>
              <w:rPr>
                <w:rFonts w:ascii="Times New Roman" w:hAnsi="Times New Roman" w:cs="Times New Roman"/>
              </w:rPr>
              <w:t xml:space="preserve">образования  Районная детско-юношеская спортивная школа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(МБУ ДО РДЮСШ)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Сибирская, д.51, </w:t>
            </w:r>
            <w:r>
              <w:rPr>
                <w:rFonts w:ascii="Times New Roman" w:hAnsi="Times New Roman" w:cs="Times New Roman"/>
              </w:rPr>
              <w:t xml:space="preserve">пгт</w:t>
            </w:r>
            <w:r>
              <w:rPr>
                <w:rFonts w:ascii="Times New Roman" w:hAnsi="Times New Roman" w:cs="Times New Roman"/>
              </w:rPr>
              <w:t xml:space="preserve">. Междуреченский, Кондинский район, Ханты-Мансийский автономный округ - Югра, 628200,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8(34677)32-951,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rduch86@mail.ru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Лангепас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«Группа здоровья»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Наряду с физическими упражнениями разной направленности, проводятся занятия по скандинавской ходьбе с инструктором по спорту. Передвижение во время таких занятий проводится по безопасным маршрутам, захватывая лесной массив в парковой зоне города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Бесплатно, в открытом доступе, для индивидуальных и групповых занятий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30,60, 90 минут,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ЛГ МАУ «Спортивный комплекс» 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г. </w:t>
            </w:r>
            <w:r>
              <w:rPr>
                <w:rFonts w:ascii="Times New Roman" w:hAnsi="Times New Roman" w:eastAsia="Calibri" w:cs="Times New Roman"/>
              </w:rPr>
              <w:t xml:space="preserve">Лангепас</w:t>
            </w:r>
            <w:r>
              <w:rPr>
                <w:rFonts w:ascii="Times New Roman" w:hAnsi="Times New Roman" w:eastAsia="Calibri" w:cs="Times New Roman"/>
              </w:rPr>
              <w:t xml:space="preserve">, ул. </w:t>
            </w:r>
            <w:r>
              <w:rPr>
                <w:rFonts w:ascii="Times New Roman" w:hAnsi="Times New Roman" w:eastAsia="Calibri" w:cs="Times New Roman"/>
              </w:rPr>
              <w:t xml:space="preserve">Солнечная</w:t>
            </w:r>
            <w:r>
              <w:rPr>
                <w:rFonts w:ascii="Times New Roman" w:hAnsi="Times New Roman" w:eastAsia="Calibri" w:cs="Times New Roman"/>
              </w:rPr>
              <w:t xml:space="preserve">, 23,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8(34669) 2-79-11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lsk2001@ya.ru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Нефтеюганск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Физкультурно-оздоровительное мероприятие </w:t>
            </w:r>
            <w:r>
              <w:rPr>
                <w:rFonts w:ascii="Times New Roman" w:hAnsi="Times New Roman" w:cs="Times New Roman"/>
              </w:rPr>
              <w:t xml:space="preserve">«Скандинавским шагом за здоровьем», посвященное Всемирному дню скандинавской ходьбы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Тропа здоровья проложена по туристическому маршруту, захватывая </w:t>
            </w:r>
            <w:r>
              <w:rPr>
                <w:rFonts w:ascii="Times New Roman" w:hAnsi="Times New Roman" w:cs="Times New Roman"/>
              </w:rPr>
              <w:t xml:space="preserve">лесной массив в парковой зоне города. Передвижение во время таких занятий проводится с инструктором по спорту отделения </w:t>
            </w:r>
            <w:r>
              <w:rPr>
                <w:rFonts w:ascii="Times New Roman" w:hAnsi="Times New Roman" w:cs="Times New Roman"/>
              </w:rPr>
              <w:t xml:space="preserve">адаптивной</w:t>
            </w:r>
            <w:r>
              <w:rPr>
                <w:rFonts w:ascii="Times New Roman" w:hAnsi="Times New Roman" w:cs="Times New Roman"/>
              </w:rPr>
              <w:t xml:space="preserve"> физической культуры и спорта МБУ </w:t>
            </w:r>
            <w:r>
              <w:rPr>
                <w:rFonts w:ascii="Times New Roman" w:hAnsi="Times New Roman" w:cs="Times New Roman"/>
              </w:rPr>
              <w:t xml:space="preserve">ЦФКиС</w:t>
            </w:r>
            <w:r>
              <w:rPr>
                <w:rFonts w:ascii="Times New Roman" w:hAnsi="Times New Roman" w:cs="Times New Roman"/>
              </w:rPr>
              <w:t xml:space="preserve"> «Жемчужина Югры».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маршрута 3 км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 xml:space="preserve">ЦФКиС</w:t>
            </w:r>
            <w:r>
              <w:rPr>
                <w:rFonts w:ascii="Times New Roman" w:hAnsi="Times New Roman" w:cs="Times New Roman"/>
              </w:rPr>
              <w:t xml:space="preserve"> «Жемчужина Югры»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.Н</w:t>
            </w:r>
            <w:r>
              <w:rPr>
                <w:rFonts w:ascii="Times New Roman" w:hAnsi="Times New Roman" w:cs="Times New Roman"/>
              </w:rPr>
              <w:t xml:space="preserve">ефтеюганск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мкр</w:t>
            </w:r>
            <w:r>
              <w:rPr>
                <w:rFonts w:ascii="Times New Roman" w:hAnsi="Times New Roman" w:cs="Times New Roman"/>
              </w:rPr>
              <w:t xml:space="preserve">., стр.2а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(</w:t>
            </w:r>
            <w:r>
              <w:rPr>
                <w:rFonts w:ascii="Times New Roman" w:hAnsi="Times New Roman" w:cs="Times New Roman"/>
              </w:rPr>
              <w:t xml:space="preserve">3463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  <w:t xml:space="preserve">-3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2" w:tooltip="mailto:inbox@sk-yugra.ru" w:history="1">
              <w:r>
                <w:rPr>
                  <w:rStyle w:val="687"/>
                  <w:rFonts w:ascii="Times New Roman" w:hAnsi="Times New Roman" w:cs="Times New Roman"/>
                  <w:lang w:val="en-US"/>
                </w:rPr>
                <w:t xml:space="preserve">inbox</w:t>
              </w:r>
              <w:r>
                <w:rPr>
                  <w:rStyle w:val="687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687"/>
                  <w:rFonts w:ascii="Times New Roman" w:hAnsi="Times New Roman" w:cs="Times New Roman"/>
                  <w:lang w:val="en-US"/>
                </w:rPr>
                <w:t xml:space="preserve">sk</w:t>
              </w:r>
              <w:r>
                <w:rPr>
                  <w:rStyle w:val="687"/>
                  <w:rFonts w:ascii="Times New Roman" w:hAnsi="Times New Roman" w:cs="Times New Roman"/>
                </w:rPr>
                <w:t xml:space="preserve">-</w:t>
              </w:r>
              <w:r>
                <w:rPr>
                  <w:rStyle w:val="687"/>
                  <w:rFonts w:ascii="Times New Roman" w:hAnsi="Times New Roman" w:cs="Times New Roman"/>
                  <w:lang w:val="en-US"/>
                </w:rPr>
                <w:t xml:space="preserve">yugra</w:t>
              </w:r>
              <w:r>
                <w:rPr>
                  <w:rStyle w:val="687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687"/>
                  <w:rFonts w:ascii="Times New Roman" w:hAnsi="Times New Roman" w:cs="Times New Roman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hyperlink r:id="rId13" w:tooltip="http://sk-yugra.ru/" w:history="1">
              <w:r>
                <w:rPr>
                  <w:rStyle w:val="687"/>
                  <w:rFonts w:ascii="Times New Roman" w:hAnsi="Times New Roman" w:cs="Times New Roman"/>
                  <w:lang w:val="en-US"/>
                </w:rPr>
                <w:t xml:space="preserve">http</w:t>
              </w:r>
              <w:r>
                <w:rPr>
                  <w:rStyle w:val="687"/>
                  <w:rFonts w:ascii="Times New Roman" w:hAnsi="Times New Roman" w:cs="Times New Roman"/>
                </w:rPr>
                <w:t xml:space="preserve">://</w:t>
              </w:r>
              <w:r>
                <w:rPr>
                  <w:rStyle w:val="687"/>
                  <w:rFonts w:ascii="Times New Roman" w:hAnsi="Times New Roman" w:cs="Times New Roman"/>
                  <w:lang w:val="en-US"/>
                </w:rPr>
                <w:t xml:space="preserve">sk</w:t>
              </w:r>
              <w:r>
                <w:rPr>
                  <w:rStyle w:val="687"/>
                  <w:rFonts w:ascii="Times New Roman" w:hAnsi="Times New Roman" w:cs="Times New Roman"/>
                </w:rPr>
                <w:t xml:space="preserve">-</w:t>
              </w:r>
              <w:r>
                <w:rPr>
                  <w:rStyle w:val="687"/>
                  <w:rFonts w:ascii="Times New Roman" w:hAnsi="Times New Roman" w:cs="Times New Roman"/>
                  <w:lang w:val="en-US"/>
                </w:rPr>
                <w:t xml:space="preserve">yugra</w:t>
              </w:r>
              <w:r>
                <w:rPr>
                  <w:rStyle w:val="687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687"/>
                  <w:rFonts w:ascii="Times New Roman" w:hAnsi="Times New Roman" w:cs="Times New Roman"/>
                  <w:lang w:val="en-US"/>
                </w:rPr>
                <w:t xml:space="preserve">ru</w:t>
              </w:r>
              <w:r>
                <w:rPr>
                  <w:rStyle w:val="687"/>
                  <w:rFonts w:ascii="Times New Roman" w:hAnsi="Times New Roman" w:cs="Times New Roman"/>
                </w:rPr>
                <w:t xml:space="preserve">/</w:t>
              </w:r>
            </w:hyperlink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Туристско</w:t>
            </w:r>
            <w:r>
              <w:rPr>
                <w:rFonts w:ascii="Times New Roman" w:hAnsi="Times New Roman" w:eastAsia="Calibri" w:cs="Times New Roman"/>
              </w:rPr>
              <w:t xml:space="preserve"> – экскурсионный маршрут «Скандинавская ходьба по историческим тропам»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Экскурсия проводится по деревне 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ата на основе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Лепецкого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Минимальное количество участников программы-5 чел., </w:t>
            </w:r>
            <w:r>
              <w:rPr>
                <w:rFonts w:ascii="Times New Roman" w:hAnsi="Times New Roman" w:eastAsia="Calibri" w:cs="Times New Roman"/>
              </w:rPr>
              <w:t xml:space="preserve">максм</w:t>
            </w:r>
            <w:r>
              <w:rPr>
                <w:rFonts w:ascii="Times New Roman" w:hAnsi="Times New Roman" w:eastAsia="Calibri" w:cs="Times New Roman"/>
              </w:rPr>
              <w:t xml:space="preserve">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Экскурсионная </w:t>
            </w:r>
            <w:r>
              <w:rPr>
                <w:rFonts w:ascii="Times New Roman" w:hAnsi="Times New Roman" w:eastAsia="Calibri" w:cs="Times New Roman"/>
              </w:rPr>
              <w:t xml:space="preserve">прогрмма</w:t>
            </w:r>
            <w:r>
              <w:rPr>
                <w:rFonts w:ascii="Times New Roman" w:hAnsi="Times New Roman" w:eastAsia="Calibri" w:cs="Times New Roman"/>
              </w:rPr>
              <w:t xml:space="preserve"> с элементами скандинавской ходьбы была проведена в марте 2022 года среди людей пожилого возраста, проживающих </w:t>
            </w:r>
            <w:r>
              <w:rPr>
                <w:rFonts w:ascii="Times New Roman" w:hAnsi="Times New Roman" w:eastAsia="Calibri" w:cs="Times New Roman"/>
              </w:rPr>
              <w:t xml:space="preserve">в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с.п</w:t>
            </w:r>
            <w:r>
              <w:rPr>
                <w:rFonts w:ascii="Times New Roman" w:hAnsi="Times New Roman" w:eastAsia="Calibri" w:cs="Times New Roman"/>
              </w:rPr>
              <w:t xml:space="preserve">. Вата в рамках мероприятий, приуроченных к открытию “Года культурного наследия”. </w:t>
            </w:r>
            <w:r>
              <w:rPr>
                <w:rFonts w:ascii="Times New Roman" w:hAnsi="Times New Roman" w:eastAsia="Calibri" w:cs="Times New Roman"/>
              </w:rPr>
              <w:t xml:space="preserve">Данная</w:t>
            </w:r>
            <w:r>
              <w:rPr>
                <w:rFonts w:ascii="Times New Roman" w:hAnsi="Times New Roman" w:eastAsia="Calibri" w:cs="Times New Roman"/>
              </w:rPr>
              <w:t xml:space="preserve"> программы может быть </w:t>
            </w:r>
            <w:r>
              <w:rPr>
                <w:rFonts w:ascii="Times New Roman" w:hAnsi="Times New Roman" w:eastAsia="Calibri" w:cs="Times New Roman"/>
              </w:rPr>
              <w:t xml:space="preserve">проведена в рамках экскурсионного обслуживания туристских групп.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Программа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проходит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по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запросу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Круглогодично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МКУ “Краеведческий музей им. Т.В.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Великородовой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”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Ханты-Мансийский автономный округ-Югра,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Нижневартовский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с.п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Вата, ул. Лесная д.36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4" w:tooltip="mailto:vmuseum@yandex.ru" w:history="1">
              <w:r>
                <w:rPr>
                  <w:rStyle w:val="663"/>
                  <w:rFonts w:ascii="Times New Roman" w:hAnsi="Times New Roman" w:eastAsia="Times New Roman" w:cs="Times New Roman"/>
                  <w:lang w:val="en-US" w:eastAsia="ru-RU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+7(3466) 21-35-24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Туристско-экскурсионный маршрут “</w:t>
            </w:r>
            <w:r>
              <w:rPr>
                <w:rFonts w:ascii="Times New Roman" w:hAnsi="Times New Roman" w:cs="Times New Roman"/>
              </w:rPr>
              <w:t xml:space="preserve">Излучинск</w:t>
            </w:r>
            <w:r>
              <w:rPr>
                <w:rFonts w:ascii="Times New Roman" w:hAnsi="Times New Roman" w:cs="Times New Roman"/>
              </w:rPr>
              <w:t xml:space="preserve"> – гордость и жемчужина </w:t>
            </w:r>
            <w:r>
              <w:rPr>
                <w:rFonts w:ascii="Times New Roman" w:hAnsi="Times New Roman" w:cs="Times New Roman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</w:rPr>
              <w:t xml:space="preserve"> района”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Экскурсия знакомит с основными достопримечательностями 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пгт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.И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злучинск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Минимальное количество участников программы-5 чел., </w:t>
            </w:r>
            <w:r>
              <w:rPr>
                <w:rFonts w:ascii="Times New Roman" w:hAnsi="Times New Roman" w:eastAsia="Calibri" w:cs="Times New Roman"/>
              </w:rPr>
              <w:t xml:space="preserve">максм</w:t>
            </w:r>
            <w:r>
              <w:rPr>
                <w:rFonts w:ascii="Times New Roman" w:hAnsi="Times New Roman" w:eastAsia="Calibri" w:cs="Times New Roman"/>
              </w:rPr>
              <w:t xml:space="preserve">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Экскурсионная </w:t>
            </w:r>
            <w:r>
              <w:rPr>
                <w:rFonts w:ascii="Times New Roman" w:hAnsi="Times New Roman" w:eastAsia="Calibri" w:cs="Times New Roman"/>
              </w:rPr>
              <w:t xml:space="preserve">прогрмма</w:t>
            </w:r>
            <w:r>
              <w:rPr>
                <w:rFonts w:ascii="Times New Roman" w:hAnsi="Times New Roman" w:eastAsia="Calibri" w:cs="Times New Roman"/>
              </w:rPr>
              <w:t xml:space="preserve"> с элементами скандинавской ходьбы была проведена в марте 2022 года среди людей пожилого возраста, проживающих </w:t>
            </w:r>
            <w:r>
              <w:rPr>
                <w:rFonts w:ascii="Times New Roman" w:hAnsi="Times New Roman" w:eastAsia="Calibri" w:cs="Times New Roman"/>
              </w:rPr>
              <w:t xml:space="preserve">в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с.п</w:t>
            </w:r>
            <w:r>
              <w:rPr>
                <w:rFonts w:ascii="Times New Roman" w:hAnsi="Times New Roman" w:eastAsia="Calibri" w:cs="Times New Roman"/>
              </w:rPr>
              <w:t xml:space="preserve">. Вата в рамках мероприятий, приуроченных к открытию “Года культурного наследия”. </w:t>
            </w:r>
            <w:r>
              <w:rPr>
                <w:rFonts w:ascii="Times New Roman" w:hAnsi="Times New Roman" w:eastAsia="Calibri" w:cs="Times New Roman"/>
              </w:rPr>
              <w:t xml:space="preserve">Данная</w:t>
            </w:r>
            <w:r>
              <w:rPr>
                <w:rFonts w:ascii="Times New Roman" w:hAnsi="Times New Roman" w:eastAsia="Calibri" w:cs="Times New Roman"/>
              </w:rPr>
              <w:t xml:space="preserve"> программы может быть проведена в рамках экскурсионного обслуживания туристских групп.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Программа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проходит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по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запросу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Круглогодично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Отдел культуры управления культуры и спорта администрации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Нижневартовского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Ханты-Мансийский автономный округ-Югра, г. Нижневартовск, ул. 60 лет Октября, д. 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Б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</w:t>
            </w:r>
            <w:hyperlink r:id="rId15" w:tooltip="mailto:UKD@nvraion.ru" w:history="1">
              <w:r>
                <w:rPr>
                  <w:rStyle w:val="663"/>
                  <w:rFonts w:ascii="Times New Roman" w:hAnsi="Times New Roman" w:eastAsia="Times New Roman" w:cs="Times New Roman"/>
                  <w:lang w:eastAsia="ru-RU"/>
                </w:rPr>
                <w:t xml:space="preserve">UKD@nvraion.ru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+7(3466) 414959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Пешая экскурсионная программа: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Аган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… Листая страницы истории с легендами и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обычаями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»с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элементами скандинавской ходьбы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Экскурсионный маршрут посвящен истории образования </w:t>
            </w:r>
            <w:r>
              <w:rPr>
                <w:rFonts w:ascii="Times New Roman" w:hAnsi="Times New Roman" w:eastAsia="Calibri" w:cs="Times New Roman"/>
              </w:rPr>
              <w:t xml:space="preserve">сельского</w:t>
            </w:r>
            <w:r>
              <w:rPr>
                <w:rFonts w:ascii="Times New Roman" w:hAnsi="Times New Roman" w:eastAsia="Calibri" w:cs="Times New Roman"/>
              </w:rPr>
              <w:t xml:space="preserve"> поселения, гостей познакомят с мифами, легендами и обычаями </w:t>
            </w:r>
            <w:r>
              <w:rPr>
                <w:rFonts w:ascii="Times New Roman" w:hAnsi="Times New Roman" w:eastAsia="Calibri" w:cs="Times New Roman"/>
              </w:rPr>
              <w:t xml:space="preserve">Аганских</w:t>
            </w:r>
            <w:r>
              <w:rPr>
                <w:rFonts w:ascii="Times New Roman" w:hAnsi="Times New Roman" w:eastAsia="Calibri" w:cs="Times New Roman"/>
              </w:rPr>
              <w:t xml:space="preserve"> Восточных </w:t>
            </w:r>
            <w:r>
              <w:rPr>
                <w:rFonts w:ascii="Times New Roman" w:hAnsi="Times New Roman" w:eastAsia="Calibri" w:cs="Times New Roman"/>
              </w:rPr>
              <w:t xml:space="preserve">ханты, экскурсанты узнают о жителях поселка, их вкладе в развитие поселка и района.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Минимальное количество участников программы-5 чел., </w:t>
            </w:r>
            <w:r>
              <w:rPr>
                <w:rFonts w:ascii="Times New Roman" w:hAnsi="Times New Roman" w:eastAsia="Calibri" w:cs="Times New Roman"/>
              </w:rPr>
              <w:t xml:space="preserve">максм</w:t>
            </w:r>
            <w:r>
              <w:rPr>
                <w:rFonts w:ascii="Times New Roman" w:hAnsi="Times New Roman" w:eastAsia="Calibri" w:cs="Times New Roman"/>
              </w:rPr>
              <w:t xml:space="preserve">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Экскурсионная </w:t>
            </w:r>
            <w:r>
              <w:rPr>
                <w:rFonts w:ascii="Times New Roman" w:hAnsi="Times New Roman" w:eastAsia="Calibri" w:cs="Times New Roman"/>
              </w:rPr>
              <w:t xml:space="preserve">прогрмма</w:t>
            </w:r>
            <w:r>
              <w:rPr>
                <w:rFonts w:ascii="Times New Roman" w:hAnsi="Times New Roman" w:eastAsia="Calibri" w:cs="Times New Roman"/>
              </w:rPr>
              <w:t xml:space="preserve"> с элементами скандинавской ходьбы была проведена в марте 2022 года среди людей пожилого возраста, проживающих </w:t>
            </w:r>
            <w:r>
              <w:rPr>
                <w:rFonts w:ascii="Times New Roman" w:hAnsi="Times New Roman" w:eastAsia="Calibri" w:cs="Times New Roman"/>
              </w:rPr>
              <w:t xml:space="preserve">в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с.п</w:t>
            </w:r>
            <w:r>
              <w:rPr>
                <w:rFonts w:ascii="Times New Roman" w:hAnsi="Times New Roman" w:eastAsia="Calibri" w:cs="Times New Roman"/>
              </w:rPr>
              <w:t xml:space="preserve">. </w:t>
            </w:r>
            <w:r>
              <w:rPr>
                <w:rFonts w:ascii="Times New Roman" w:hAnsi="Times New Roman" w:eastAsia="Calibri" w:cs="Times New Roman"/>
              </w:rPr>
              <w:t xml:space="preserve">Аган</w:t>
            </w:r>
            <w:r>
              <w:rPr>
                <w:rFonts w:ascii="Times New Roman" w:hAnsi="Times New Roman" w:eastAsia="Calibri" w:cs="Times New Roman"/>
              </w:rPr>
              <w:t xml:space="preserve"> в рамках мероприятий, приуроченных к открытию “Года культурного наследия”. </w:t>
            </w:r>
            <w:r>
              <w:rPr>
                <w:rFonts w:ascii="Times New Roman" w:hAnsi="Times New Roman" w:eastAsia="Calibri" w:cs="Times New Roman"/>
              </w:rPr>
              <w:t xml:space="preserve">Данная</w:t>
            </w:r>
            <w:r>
              <w:rPr>
                <w:rFonts w:ascii="Times New Roman" w:hAnsi="Times New Roman" w:eastAsia="Calibri" w:cs="Times New Roman"/>
              </w:rPr>
              <w:t xml:space="preserve"> программы может быть проведена в рамках экскурсионного обслуживания туристских групп.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Программа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проходит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по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запросу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Круглогодично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МАУ “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Межпоселенческий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центр национальных промыслов и ремесел”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Ханты-Мансийский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автномный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округ-Югра,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Нижневартовский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с.п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Аган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Рыбников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, д.15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http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://центр-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ремесел.рф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centrremesel@mail.ru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+7 (34669) 5-20-58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Пешая экскурсионная программа «История села 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Варьеган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Экскурсия познакомит посетителей с историей становления и развития села, с жителями села в разные периоды времени.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Минимальное количество участников программы-5 чел., </w:t>
            </w:r>
            <w:r>
              <w:rPr>
                <w:rFonts w:ascii="Times New Roman" w:hAnsi="Times New Roman" w:eastAsia="Calibri" w:cs="Times New Roman"/>
              </w:rPr>
              <w:t xml:space="preserve">максм</w:t>
            </w:r>
            <w:r>
              <w:rPr>
                <w:rFonts w:ascii="Times New Roman" w:hAnsi="Times New Roman" w:eastAsia="Calibri" w:cs="Times New Roman"/>
              </w:rPr>
              <w:t xml:space="preserve">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Экскурсионная </w:t>
            </w:r>
            <w:r>
              <w:rPr>
                <w:rFonts w:ascii="Times New Roman" w:hAnsi="Times New Roman" w:eastAsia="Calibri" w:cs="Times New Roman"/>
              </w:rPr>
              <w:t xml:space="preserve">прогрмма</w:t>
            </w:r>
            <w:r>
              <w:rPr>
                <w:rFonts w:ascii="Times New Roman" w:hAnsi="Times New Roman" w:eastAsia="Calibri" w:cs="Times New Roman"/>
              </w:rPr>
              <w:t xml:space="preserve"> с элементами скандинавской ходьбы была проведена в марте 2022 года среди людей пожилого возраста, </w:t>
            </w:r>
            <w:r>
              <w:rPr>
                <w:rFonts w:ascii="Times New Roman" w:hAnsi="Times New Roman" w:eastAsia="Calibri" w:cs="Times New Roman"/>
              </w:rPr>
              <w:t xml:space="preserve">проживающих </w:t>
            </w:r>
            <w:r>
              <w:rPr>
                <w:rFonts w:ascii="Times New Roman" w:hAnsi="Times New Roman" w:eastAsia="Calibri" w:cs="Times New Roman"/>
              </w:rPr>
              <w:t xml:space="preserve">в</w:t>
            </w:r>
            <w:r>
              <w:rPr>
                <w:rFonts w:ascii="Times New Roman" w:hAnsi="Times New Roman" w:eastAsia="Calibri" w:cs="Times New Roman"/>
              </w:rPr>
              <w:t xml:space="preserve">  с. </w:t>
            </w:r>
            <w:r>
              <w:rPr>
                <w:rFonts w:ascii="Times New Roman" w:hAnsi="Times New Roman" w:eastAsia="Calibri" w:cs="Times New Roman"/>
              </w:rPr>
              <w:t xml:space="preserve">Варьеган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в</w:t>
            </w:r>
            <w:r>
              <w:rPr>
                <w:rFonts w:ascii="Times New Roman" w:hAnsi="Times New Roman" w:eastAsia="Calibri" w:cs="Times New Roman"/>
              </w:rPr>
              <w:t xml:space="preserve"> рамках мероприятий, приуроченных к открытию “Года культурного наследия”. </w:t>
            </w:r>
            <w:r>
              <w:rPr>
                <w:rFonts w:ascii="Times New Roman" w:hAnsi="Times New Roman" w:eastAsia="Calibri" w:cs="Times New Roman"/>
              </w:rPr>
              <w:t xml:space="preserve">Данная</w:t>
            </w:r>
            <w:r>
              <w:rPr>
                <w:rFonts w:ascii="Times New Roman" w:hAnsi="Times New Roman" w:eastAsia="Calibri" w:cs="Times New Roman"/>
              </w:rPr>
              <w:t xml:space="preserve"> программы может быть проведена в рамках экскурсионного обслуживания туристских групп.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Программа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проходит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по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запросу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Круглогодично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МКУ «Этнографический парк-музей с.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Варьёган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автономный округ – Югра,  </w:t>
            </w: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</w:t>
            </w:r>
            <w:r>
              <w:rPr>
                <w:rFonts w:ascii="Times New Roman" w:hAnsi="Times New Roman" w:cs="Times New Roman"/>
              </w:rPr>
              <w:t xml:space="preserve">,с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Варьёган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 xml:space="preserve">Айваседа</w:t>
            </w:r>
            <w:r>
              <w:rPr>
                <w:rFonts w:ascii="Times New Roman" w:hAnsi="Times New Roman" w:cs="Times New Roman"/>
              </w:rPr>
              <w:t xml:space="preserve"> Мэру, 20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89527210100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6" w:tooltip="mailto:museum-varegan@mail.ru" w:history="1">
              <w:r>
                <w:rPr>
                  <w:rStyle w:val="663"/>
                  <w:rFonts w:ascii="Times New Roman" w:hAnsi="Times New Roman" w:cs="Times New Roman"/>
                  <w:lang w:val="en-US" w:eastAsia="ru-RU"/>
                </w:rPr>
                <w:t xml:space="preserve">museum</w:t>
              </w:r>
              <w:r>
                <w:rPr>
                  <w:rStyle w:val="663"/>
                  <w:rFonts w:ascii="Times New Roman" w:hAnsi="Times New Roman" w:cs="Times New Roman"/>
                  <w:lang w:eastAsia="ru-RU"/>
                </w:rPr>
                <w:t xml:space="preserve">-</w:t>
              </w:r>
              <w:r>
                <w:rPr>
                  <w:rStyle w:val="663"/>
                  <w:rFonts w:ascii="Times New Roman" w:hAnsi="Times New Roman" w:cs="Times New Roman"/>
                  <w:lang w:val="en-US" w:eastAsia="ru-RU"/>
                </w:rPr>
                <w:t xml:space="preserve">varegan</w:t>
              </w:r>
              <w:r>
                <w:rPr>
                  <w:rStyle w:val="663"/>
                  <w:rFonts w:ascii="Times New Roman" w:hAnsi="Times New Roman" w:cs="Times New Roman"/>
                  <w:lang w:eastAsia="ru-RU"/>
                </w:rPr>
                <w:t xml:space="preserve">@</w:t>
              </w:r>
              <w:r>
                <w:rPr>
                  <w:rStyle w:val="663"/>
                  <w:rFonts w:ascii="Times New Roman" w:hAnsi="Times New Roman" w:cs="Times New Roman"/>
                  <w:lang w:val="en-US" w:eastAsia="ru-RU"/>
                </w:rPr>
                <w:t xml:space="preserve">mail</w:t>
              </w:r>
              <w:r>
                <w:rPr>
                  <w:rStyle w:val="663"/>
                  <w:rFonts w:ascii="Times New Roman" w:hAnsi="Times New Roman" w:cs="Times New Roman"/>
                  <w:lang w:eastAsia="ru-RU"/>
                </w:rPr>
                <w:t xml:space="preserve">.</w:t>
              </w:r>
              <w:r>
                <w:rPr>
                  <w:rStyle w:val="663"/>
                  <w:rFonts w:ascii="Times New Roman" w:hAnsi="Times New Roman" w:cs="Times New Roman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Пешая экскурсионная программа “Край геологоразведки”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Экскурсия знакомит с основными достопримечательностями 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пгт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Новоаганск</w:t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Минимальное количество участников программы-5 чел., </w:t>
            </w:r>
            <w:r>
              <w:rPr>
                <w:rFonts w:ascii="Times New Roman" w:hAnsi="Times New Roman" w:eastAsia="Calibri" w:cs="Times New Roman"/>
              </w:rPr>
              <w:t xml:space="preserve">максм</w:t>
            </w:r>
            <w:r>
              <w:rPr>
                <w:rFonts w:ascii="Times New Roman" w:hAnsi="Times New Roman" w:eastAsia="Calibri" w:cs="Times New Roman"/>
              </w:rPr>
              <w:t xml:space="preserve">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Экскурсионная </w:t>
            </w:r>
            <w:r>
              <w:rPr>
                <w:rFonts w:ascii="Times New Roman" w:hAnsi="Times New Roman" w:eastAsia="Calibri" w:cs="Times New Roman"/>
              </w:rPr>
              <w:t xml:space="preserve">прогрмма</w:t>
            </w:r>
            <w:r>
              <w:rPr>
                <w:rFonts w:ascii="Times New Roman" w:hAnsi="Times New Roman" w:eastAsia="Calibri" w:cs="Times New Roman"/>
              </w:rPr>
              <w:t xml:space="preserve"> с элементами скандинавской ходьбы была проведена в марте 2022 года среди людей пожилого возраста, проживающих </w:t>
            </w:r>
            <w:r>
              <w:rPr>
                <w:rFonts w:ascii="Times New Roman" w:hAnsi="Times New Roman" w:eastAsia="Calibri" w:cs="Times New Roman"/>
              </w:rPr>
              <w:t xml:space="preserve">в</w:t>
            </w:r>
            <w:r>
              <w:rPr>
                <w:rFonts w:ascii="Times New Roman" w:hAnsi="Times New Roman" w:eastAsia="Calibri" w:cs="Times New Roman"/>
              </w:rPr>
              <w:t xml:space="preserve">  с. </w:t>
            </w:r>
            <w:r>
              <w:rPr>
                <w:rFonts w:ascii="Times New Roman" w:hAnsi="Times New Roman" w:eastAsia="Calibri" w:cs="Times New Roman"/>
              </w:rPr>
              <w:t xml:space="preserve">Варьеган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в</w:t>
            </w:r>
            <w:r>
              <w:rPr>
                <w:rFonts w:ascii="Times New Roman" w:hAnsi="Times New Roman" w:eastAsia="Calibri" w:cs="Times New Roman"/>
              </w:rPr>
              <w:t xml:space="preserve"> рамках мероприятий, приуроченных к открытию “Года культурного наследия”. </w:t>
            </w:r>
            <w:r>
              <w:rPr>
                <w:rFonts w:ascii="Times New Roman" w:hAnsi="Times New Roman" w:eastAsia="Calibri" w:cs="Times New Roman"/>
              </w:rPr>
              <w:t xml:space="preserve">Данная</w:t>
            </w:r>
            <w:r>
              <w:rPr>
                <w:rFonts w:ascii="Times New Roman" w:hAnsi="Times New Roman" w:eastAsia="Calibri" w:cs="Times New Roman"/>
              </w:rPr>
              <w:t xml:space="preserve"> программы может быть проведена в рамках экскурсионного обслуживания туристских групп.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lang w:val="en-US"/>
              </w:rPr>
              <w:t xml:space="preserve">Программа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проходит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 по 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запросу</w:t>
            </w:r>
            <w:r>
              <w:rPr>
                <w:rFonts w:ascii="Times New Roman" w:hAnsi="Times New Roman" w:eastAsia="Calibri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Круглогодично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Стоимость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РМАУ ДК “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Геолог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”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Ханты-Мансийский автономный окру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Югра,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пгт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Новоаганск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ул. Центральная, д. 13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т/ф 8(34668) 5-13-35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http://dk-geolog.ru/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dk-geolog@yandex.ru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Покачи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для занятий скандинавской ходьбой №1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историей города и увидеть его основные достопримечательности, узнать информацию о них. В программе посещение следующих о</w:t>
            </w:r>
            <w:r>
              <w:rPr>
                <w:rFonts w:ascii="Times New Roman" w:hAnsi="Times New Roman" w:cs="Times New Roman"/>
              </w:rPr>
              <w:t xml:space="preserve">бъектов: монумент «Защитникам отечества», соборной мечети, храма Покрова Божией матери, сквера «Таежный». Конечной точкой маршрута является общественная территория для активного и семейного отдыха «Теплый берег», на которой расположена спортивная площадка.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минут, круглогодично, бесплатно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«Краеведческий музей»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Покачи</w:t>
            </w:r>
            <w:r>
              <w:rPr>
                <w:rFonts w:ascii="Times New Roman" w:hAnsi="Times New Roman" w:cs="Times New Roman"/>
              </w:rPr>
              <w:t xml:space="preserve">, Ханты-Мансийский автономный округ — Югра, ул. Комсомольская 4 – 61. Телефон/факс: 8(34669) 7-08-99.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</w:t>
            </w:r>
            <w:r>
              <w:rPr>
                <w:rFonts w:ascii="Times New Roman" w:hAnsi="Times New Roman" w:cs="Times New Roman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 museumpokachi@yandex.ru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www.museumpokachi.ru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Покачи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для занятий скандинавской ходьбой №2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4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в лесопарковой зоне по асфальтированным дорожкам.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минут, летний период, бесплатно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Покачи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для занятий скандинавской ходьбой №3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 по лесным песчаным тропинкам до реки </w:t>
            </w:r>
            <w:r>
              <w:rPr>
                <w:rFonts w:ascii="Times New Roman" w:hAnsi="Times New Roman" w:cs="Times New Roman"/>
              </w:rPr>
              <w:t xml:space="preserve">Ватьеган</w:t>
            </w:r>
            <w:r>
              <w:rPr>
                <w:rFonts w:ascii="Times New Roman" w:hAnsi="Times New Roman" w:cs="Times New Roman"/>
              </w:rPr>
              <w:t xml:space="preserve"> и обратно.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минут, летний период, бесплатно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«За Саймой»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маршрута 1 км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маршрута от спортивной площадки, расположенных у моста, выходящего к ПАО «</w:t>
            </w:r>
            <w:r>
              <w:rPr>
                <w:rFonts w:ascii="Times New Roman" w:hAnsi="Times New Roman" w:cs="Times New Roman"/>
              </w:rPr>
              <w:t xml:space="preserve">Россети</w:t>
            </w:r>
            <w:r>
              <w:rPr>
                <w:rFonts w:ascii="Times New Roman" w:hAnsi="Times New Roman" w:cs="Times New Roman"/>
              </w:rPr>
              <w:t xml:space="preserve">», далее по главной асфальтированной дороге к перекрестку у моста с </w:t>
            </w:r>
            <w:r>
              <w:rPr>
                <w:rFonts w:ascii="Times New Roman" w:hAnsi="Times New Roman" w:cs="Times New Roman"/>
              </w:rPr>
              <w:t xml:space="preserve">фиолетовыми фонарями. На перекрестке маршрут поворачивает направо вдоль реки Сайма, мимо скульптурной композиции, скамеек, детских городков. На развилке открывается вид на реку Сайма, Храм св. Татьяны и </w:t>
            </w:r>
            <w:r>
              <w:rPr>
                <w:rFonts w:ascii="Times New Roman" w:hAnsi="Times New Roman" w:cs="Times New Roman"/>
              </w:rPr>
              <w:t xml:space="preserve">СурГУ</w:t>
            </w:r>
            <w:r>
              <w:rPr>
                <w:rFonts w:ascii="Times New Roman" w:hAnsi="Times New Roman" w:cs="Times New Roman"/>
              </w:rPr>
              <w:t xml:space="preserve">. Окончание маршрута – спортивная площадка у моста, выходящего к ПАО «</w:t>
            </w:r>
            <w:r>
              <w:rPr>
                <w:rFonts w:ascii="Times New Roman" w:hAnsi="Times New Roman" w:cs="Times New Roman"/>
              </w:rPr>
              <w:t xml:space="preserve">Россети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маршрута 3 км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маршрута от спортивной площадки, расположенных у моста, выходящего к ПАО «</w:t>
            </w:r>
            <w:r>
              <w:rPr>
                <w:rFonts w:ascii="Times New Roman" w:hAnsi="Times New Roman" w:cs="Times New Roman"/>
              </w:rPr>
              <w:t xml:space="preserve">Россети</w:t>
            </w:r>
            <w:r>
              <w:rPr>
                <w:rFonts w:ascii="Times New Roman" w:hAnsi="Times New Roman" w:cs="Times New Roman"/>
              </w:rPr>
              <w:t xml:space="preserve">», далее по главной асфальтированной дороге к перекрестку у моста с фиолетовыми фонарями. На перекрестке маршрут поворачивает налево, вдоль реки</w:t>
            </w:r>
            <w:r>
              <w:rPr>
                <w:rFonts w:ascii="Times New Roman" w:hAnsi="Times New Roman" w:cs="Times New Roman"/>
              </w:rPr>
              <w:t xml:space="preserve"> Сайма, река — справа, слева — хвойный лесной массив. Маршрут ведет прямо, мимо моста с оранжевыми фонарями, достигая перекрестка у моста с зелеными фонарями. Далее маршрут поворачивает налево и через 50 метров, поворачивает направо на щебенчатую дорожку. </w:t>
            </w:r>
            <w:r>
              <w:rPr>
                <w:rFonts w:ascii="Times New Roman" w:hAnsi="Times New Roman" w:cs="Times New Roman"/>
              </w:rPr>
              <w:t xml:space="preserve">Через 120 метров вдоль хвойного массива, который остаетс</w:t>
            </w:r>
            <w:r>
              <w:rPr>
                <w:rFonts w:ascii="Times New Roman" w:hAnsi="Times New Roman" w:cs="Times New Roman"/>
              </w:rPr>
              <w:t xml:space="preserve">я слева, поворачивает налево на лесную тропинку. Через 150 метров маршрут выведет на асфальтированную дорожку парка. Далее маршрут поворачивает направо, по асфальтированной дорожке мимо двух асфальтированных перекрестков. После второго перекрестка маршрут </w:t>
            </w:r>
            <w:r>
              <w:rPr>
                <w:rFonts w:ascii="Times New Roman" w:hAnsi="Times New Roman" w:cs="Times New Roman"/>
              </w:rPr>
              <w:t xml:space="preserve">пролегает через лесной массив с лиственными деревьями и поворачивает</w:t>
            </w:r>
            <w:r>
              <w:rPr>
                <w:rFonts w:ascii="Times New Roman" w:hAnsi="Times New Roman" w:cs="Times New Roman"/>
              </w:rPr>
              <w:t xml:space="preserve"> налево в хвойный лесной массив. На ближайшем перекрестке маршрут поворачивает направо сквозь хвойный лесной массив и далее по асфальтированной дорожке к спортивной площадке, расположенной у моста, выходящего к ПАО «</w:t>
            </w:r>
            <w:r>
              <w:rPr>
                <w:rFonts w:ascii="Times New Roman" w:hAnsi="Times New Roman" w:cs="Times New Roman"/>
              </w:rPr>
              <w:t xml:space="preserve">Россети</w:t>
            </w:r>
            <w:r>
              <w:rPr>
                <w:rFonts w:ascii="Times New Roman" w:hAnsi="Times New Roman" w:cs="Times New Roman"/>
              </w:rPr>
              <w:t xml:space="preserve">» – окончание маршрута.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Маршруты пользуются популярностью у жителей города.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человек от 10 до 25.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Круглогодично,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утвержденному расписанию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ЦФП «Надежда»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Сургут, улица Студенческая 16,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телефон:89824137010 – начальник ФСК «Импульс» </w:t>
            </w:r>
            <w:r>
              <w:rPr>
                <w:rFonts w:ascii="Times New Roman" w:hAnsi="Times New Roman" w:cs="Times New Roman"/>
              </w:rPr>
              <w:t xml:space="preserve">Ленде</w:t>
            </w:r>
            <w:r>
              <w:rPr>
                <w:rFonts w:ascii="Times New Roman" w:hAnsi="Times New Roman" w:cs="Times New Roman"/>
              </w:rPr>
              <w:t xml:space="preserve"> Ольга Николаевна,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7" w:tooltip="mailto:o.lende@mail.ru" w:history="1">
              <w:r>
                <w:rPr>
                  <w:rStyle w:val="663"/>
                  <w:rFonts w:ascii="Times New Roman" w:hAnsi="Times New Roman" w:cs="Times New Roman"/>
                  <w:lang w:val="en-US"/>
                </w:rPr>
                <w:t xml:space="preserve">o.lende@mail.ru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http://nadezhda-sport.ru/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«Кедровый лог»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маршрута 1 км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маршрута от спортивного городка возле колеса обозрения. Далее маршрут поворачивает направо, слева находится танцевальная площадка, п</w:t>
            </w:r>
            <w:r>
              <w:rPr>
                <w:rFonts w:ascii="Times New Roman" w:hAnsi="Times New Roman" w:cs="Times New Roman"/>
              </w:rPr>
              <w:t xml:space="preserve">роходит до моста, через мост и поворачивает направо, с левой стороны остаётся Пост охраны. Маршрут проходит мимо скамеек, скульптурной композиции «Буратино» и выходит к санаторию «Кедровый Лог», затем проходит указатель с аистами, и по лестнице, спускается</w:t>
            </w:r>
            <w:r>
              <w:rPr>
                <w:rFonts w:ascii="Times New Roman" w:hAnsi="Times New Roman" w:cs="Times New Roman"/>
              </w:rPr>
              <w:t xml:space="preserve"> вниз, по дорожке, с правой стороны пруд. Маршрут проходит через первый мост, затем второй мост и поворачивает направо, возвращаясь к первому мосту и пруду. Далее маршрут пролегает к мосту с замками молодожёнов, проходит через мост, и маршрут завершается.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маршрута 3 км.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маршрута от спортивного городка возле колеса обозрения, далее маршрут поворачивает направо, слева - танцевальная площадка.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</w:t>
            </w:r>
            <w:r>
              <w:rPr>
                <w:rFonts w:ascii="Times New Roman" w:hAnsi="Times New Roman" w:cs="Times New Roman"/>
              </w:rPr>
              <w:t xml:space="preserve">проходит до моста, затем по аллее имени Георгия Ерёмина, с левой стороны – Пост охраны, с правой стороны качели, парковка, арт-объект «Кедровый Лог» с белочкой. Далее маршрут пролегает по аллее с качелями, кормушками и лавочками и поворачивает в парк на др</w:t>
            </w:r>
            <w:r>
              <w:rPr>
                <w:rFonts w:ascii="Times New Roman" w:hAnsi="Times New Roman" w:cs="Times New Roman"/>
              </w:rPr>
              <w:t xml:space="preserve">угую аллею. С правой стороны остаётся парковка санатория «Кедровый Лог». Затем маршрут проходит по аллее, мимо поворота на мост, мимо пруда с инсталляциями уток, и на 3 повороте поворачивает направо, затем по дороге, с левой стороны, обходя пруд с инсталля</w:t>
            </w:r>
            <w:r>
              <w:rPr>
                <w:rFonts w:ascii="Times New Roman" w:hAnsi="Times New Roman" w:cs="Times New Roman"/>
              </w:rPr>
              <w:t xml:space="preserve">циями гусей, выходит к турникам. Затем маршрут поворачивает налево, с правой стороны, обходя пруд с инсталляциями уток, с левой стороны детский городок. Далее маршрут идет по направлению к главному входу в парк, поворачивает направо и по дороге с подъемами</w:t>
            </w:r>
            <w:bookmarkStart w:id="1" w:name="_GoBack2"/>
            <w:r>
              <w:rPr>
                <w:rFonts w:ascii="Times New Roman" w:hAnsi="Times New Roman" w:cs="Times New Roman"/>
              </w:rPr>
            </w:r>
            <w:bookmarkEnd w:id="1"/>
            <w:r>
              <w:rPr>
                <w:rFonts w:ascii="Times New Roman" w:hAnsi="Times New Roman" w:cs="Times New Roman"/>
              </w:rPr>
              <w:t xml:space="preserve"> и спусками проходит большой пруд, к мосту. Маршрут проходит через </w:t>
            </w:r>
            <w:r>
              <w:rPr>
                <w:rFonts w:ascii="Times New Roman" w:hAnsi="Times New Roman" w:cs="Times New Roman"/>
              </w:rPr>
              <w:t xml:space="preserve">мост, и по аллее до 3-го поворота.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Далее маршрут поворачивает налево к скверу Молодожёнов, </w:t>
            </w:r>
            <w:r>
              <w:rPr>
                <w:rFonts w:ascii="Times New Roman" w:hAnsi="Times New Roman" w:cs="Times New Roman"/>
              </w:rPr>
              <w:t xml:space="preserve">проходит через него и далее выходит</w:t>
            </w:r>
            <w:r>
              <w:rPr>
                <w:rFonts w:ascii="Times New Roman" w:hAnsi="Times New Roman" w:cs="Times New Roman"/>
              </w:rPr>
              <w:t xml:space="preserve"> к площадке для отдыха в виде Колизея. Маршрут завершается.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Маршруты пользуются спросом среди жителей города.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человек от 10 до 15.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Круглогодично,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бесплатно,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утвержденному расписанию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ЦФП «Надежда»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Сургут, улица Студенческая 16,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телефон:89824137010 – начальник ФСК «Импульс» </w:t>
            </w:r>
            <w:r>
              <w:rPr>
                <w:rFonts w:ascii="Times New Roman" w:hAnsi="Times New Roman" w:cs="Times New Roman"/>
              </w:rPr>
              <w:t xml:space="preserve">Ленде</w:t>
            </w:r>
            <w:r>
              <w:rPr>
                <w:rFonts w:ascii="Times New Roman" w:hAnsi="Times New Roman" w:cs="Times New Roman"/>
              </w:rPr>
              <w:t xml:space="preserve"> Ольга Николаевна,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18" w:tooltip="mailto:o.lende@mail.ru" w:history="1">
              <w:r>
                <w:rPr>
                  <w:rStyle w:val="663"/>
                  <w:rFonts w:ascii="Times New Roman" w:hAnsi="Times New Roman" w:cs="Times New Roman"/>
                  <w:lang w:val="en-US"/>
                </w:rPr>
                <w:t xml:space="preserve">o.lende@mail.ru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http://nadezhda-sport.ru/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531" w:type="dxa"/>
            <w:textDirection w:val="lrTb"/>
            <w:noWrap w:val="false"/>
          </w:tcPr>
          <w:p>
            <w:pPr>
              <w:pStyle w:val="714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19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04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</w:t>
            </w:r>
            <w:r>
              <w:rPr>
                <w:rFonts w:ascii="Times New Roman" w:hAnsi="Times New Roman" w:cs="Times New Roman"/>
              </w:rPr>
              <w:t xml:space="preserve">Урайское</w:t>
            </w:r>
            <w:r>
              <w:rPr>
                <w:rFonts w:ascii="Times New Roman" w:hAnsi="Times New Roman" w:cs="Times New Roman"/>
              </w:rPr>
              <w:t xml:space="preserve"> долголетие Экскурсионная программа «Первые на </w:t>
            </w:r>
            <w:r>
              <w:rPr>
                <w:rFonts w:ascii="Times New Roman" w:hAnsi="Times New Roman" w:cs="Times New Roman"/>
              </w:rPr>
              <w:t xml:space="preserve">Конде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783" w:type="dxa"/>
            <w:textDirection w:val="lrTb"/>
            <w:noWrap w:val="false"/>
          </w:tcPr>
          <w:p>
            <w:pPr>
              <w:pStyle w:val="72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совершается по набережной реки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Экскурсовод рассказывает о реке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об освоении этих территорий первыми поселенцами и о первых речных судах, ходивших по ней с 1896 года.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экскурсии – 60 минут. Количество участников от 5 до 15 человек.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2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настоящий момент программа находится на стадии разработки механизмов реализации  туристско-экскурсионного маршрута, совместно с инструктором по скандинавской ходьбе и экскурсоводом.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маршрута 1,5 км.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Круглогодично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0" w:type="dxa"/>
            </w:tcMar>
            <w:tcW w:w="220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истории города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  <w:t xml:space="preserve"> (МАУ «Культура»)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bottom w:w="0" w:type="dxa"/>
            </w:tcMar>
            <w:tcW w:w="280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>
              <w:rPr>
                <w:rFonts w:ascii="Times New Roman" w:hAnsi="Times New Roman" w:cs="Times New Roman"/>
              </w:rPr>
              <w:t xml:space="preserve">мкр</w:t>
            </w:r>
            <w:r>
              <w:rPr>
                <w:rFonts w:ascii="Times New Roman" w:hAnsi="Times New Roman" w:cs="Times New Roman"/>
              </w:rPr>
              <w:t xml:space="preserve">. 2, д, 39/1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8(34676)23396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9" w:tooltip="mailto:info@museumuray.ru" w:history="1">
              <w:r>
                <w:rPr>
                  <w:rStyle w:val="687"/>
                  <w:rFonts w:ascii="Times New Roman" w:hAnsi="Times New Roman" w:cs="Times New Roman"/>
                  <w:bCs/>
                  <w:highlight w:val="white"/>
                </w:rPr>
                <w:t xml:space="preserve">info@museumuray.ru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0" w:tooltip="http://www.museumuray.ru/" w:history="1">
              <w:r>
                <w:rPr>
                  <w:rStyle w:val="687"/>
                  <w:rFonts w:ascii="Times New Roman" w:hAnsi="Times New Roman" w:cs="Times New Roman"/>
                </w:rPr>
                <w:t xml:space="preserve">www.museumuray.ru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Парковая,1, 8(34676)9-10-28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709"/>
        <w:spacing w:after="0"/>
      </w:pPr>
      <w:r/>
      <w:bookmarkStart w:id="2" w:name="_GoBack"/>
      <w:r/>
      <w:bookmarkEnd w:id="2"/>
      <w:r/>
      <w:r/>
    </w:p>
    <w:sectPr>
      <w:headerReference w:type="default" r:id="rId9"/>
      <w:footnotePr/>
      <w:endnotePr/>
      <w:type w:val="nextPage"/>
      <w:pgSz w:w="16838" w:h="11906" w:orient="landscape"/>
      <w:pgMar w:top="1134" w:right="1134" w:bottom="1134" w:left="1134" w:header="426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86563512"/>
      <w:docPartObj>
        <w:docPartGallery w:val="Page Numbers (Top of Page)"/>
        <w:docPartUnique w:val="true"/>
      </w:docPartObj>
      <w:rPr/>
    </w:sdtPr>
    <w:sdtContent>
      <w:p>
        <w:pPr>
          <w:pStyle w:val="718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718"/>
    <w:uiPriority w:val="99"/>
  </w:style>
  <w:style w:type="character" w:styleId="45">
    <w:name w:val="Footer Char"/>
    <w:basedOn w:val="660"/>
    <w:link w:val="723"/>
    <w:uiPriority w:val="99"/>
  </w:style>
  <w:style w:type="character" w:styleId="47">
    <w:name w:val="Caption Char"/>
    <w:basedOn w:val="711"/>
    <w:link w:val="723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2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spacing w:after="200" w:line="276" w:lineRule="auto"/>
    </w:pPr>
    <w:rPr>
      <w:sz w:val="22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Интернет-ссылка"/>
    <w:basedOn w:val="660"/>
    <w:uiPriority w:val="99"/>
    <w:unhideWhenUsed/>
    <w:rPr>
      <w:color w:val="0000ff" w:themeColor="hyperlink"/>
      <w:u w:val="single"/>
    </w:rPr>
  </w:style>
  <w:style w:type="character" w:styleId="664" w:customStyle="1">
    <w:name w:val="apple-converted-space"/>
    <w:basedOn w:val="660"/>
    <w:qFormat/>
    <w:rPr>
      <w:rFonts w:cs="Times New Roman"/>
    </w:rPr>
  </w:style>
  <w:style w:type="character" w:styleId="665" w:customStyle="1">
    <w:name w:val="Без интервала Знак"/>
    <w:qFormat/>
    <w:rPr>
      <w:rFonts w:ascii="Times New Roman" w:hAnsi="Times New Roman" w:eastAsia="Times New Roman" w:cs="Times New Roman"/>
      <w:sz w:val="22"/>
      <w:szCs w:val="22"/>
      <w:lang w:val="en-US" w:bidi="ar-SA"/>
    </w:rPr>
  </w:style>
  <w:style w:type="character" w:styleId="666" w:customStyle="1">
    <w:name w:val="Текст сноски Знак"/>
    <w:basedOn w:val="660"/>
    <w:uiPriority w:val="99"/>
    <w:semiHidden/>
    <w:qFormat/>
    <w:rPr>
      <w:szCs w:val="20"/>
    </w:rPr>
  </w:style>
  <w:style w:type="character" w:styleId="667" w:customStyle="1">
    <w:name w:val="Привязка сноски"/>
    <w:rPr>
      <w:vertAlign w:val="superscript"/>
    </w:rPr>
  </w:style>
  <w:style w:type="character" w:styleId="668" w:customStyle="1">
    <w:name w:val="Footnote Characters"/>
    <w:basedOn w:val="660"/>
    <w:uiPriority w:val="99"/>
    <w:semiHidden/>
    <w:unhideWhenUsed/>
    <w:qFormat/>
    <w:rPr>
      <w:vertAlign w:val="superscript"/>
    </w:rPr>
  </w:style>
  <w:style w:type="character" w:styleId="669" w:customStyle="1">
    <w:name w:val="Нижний колонтитул Знак"/>
    <w:basedOn w:val="660"/>
    <w:uiPriority w:val="99"/>
    <w:qFormat/>
    <w:rPr>
      <w:sz w:val="22"/>
    </w:rPr>
  </w:style>
  <w:style w:type="character" w:styleId="670" w:customStyle="1">
    <w:name w:val="Верхний колонтитул Знак"/>
    <w:basedOn w:val="660"/>
    <w:uiPriority w:val="99"/>
    <w:qFormat/>
    <w:rPr>
      <w:sz w:val="22"/>
    </w:rPr>
  </w:style>
  <w:style w:type="character" w:styleId="671" w:customStyle="1">
    <w:name w:val="Символ сноски"/>
    <w:qFormat/>
  </w:style>
  <w:style w:type="character" w:styleId="672" w:customStyle="1">
    <w:name w:val="Привязка концевой сноски"/>
    <w:rPr>
      <w:vertAlign w:val="superscript"/>
    </w:rPr>
  </w:style>
  <w:style w:type="character" w:styleId="673" w:customStyle="1">
    <w:name w:val="Символ концевой сноски"/>
    <w:qFormat/>
  </w:style>
  <w:style w:type="character" w:styleId="674" w:customStyle="1">
    <w:name w:val="ListLabel 1"/>
    <w:qFormat/>
    <w:rPr>
      <w:rFonts w:ascii="Times New Roman" w:hAnsi="Times New Roman" w:cs="Times New Roman"/>
      <w:sz w:val="24"/>
      <w:szCs w:val="24"/>
    </w:rPr>
  </w:style>
  <w:style w:type="character" w:styleId="675" w:customStyle="1">
    <w:name w:val="ListLabel 28"/>
    <w:qFormat/>
    <w:rPr>
      <w:sz w:val="28"/>
      <w:szCs w:val="28"/>
    </w:rPr>
  </w:style>
  <w:style w:type="character" w:styleId="676" w:customStyle="1">
    <w:name w:val="ListLabel 332"/>
    <w:qFormat/>
    <w:rPr>
      <w:sz w:val="24"/>
      <w:szCs w:val="24"/>
    </w:rPr>
  </w:style>
  <w:style w:type="character" w:styleId="677" w:customStyle="1">
    <w:name w:val="ListLabel 333"/>
    <w:qFormat/>
    <w:rPr>
      <w:rFonts w:ascii="Times New Roman" w:hAnsi="Times New Roman" w:cs="Times New Roman"/>
      <w:sz w:val="24"/>
      <w:szCs w:val="24"/>
    </w:rPr>
  </w:style>
  <w:style w:type="character" w:styleId="678" w:customStyle="1">
    <w:name w:val="ListLabel 334"/>
    <w:qFormat/>
    <w:rPr>
      <w:rFonts w:ascii="Times New Roman" w:hAnsi="Times New Roman" w:eastAsia="Calibri" w:cs="Times New Roman"/>
      <w:sz w:val="24"/>
      <w:szCs w:val="24"/>
    </w:rPr>
  </w:style>
  <w:style w:type="character" w:styleId="679" w:customStyle="1">
    <w:name w:val="ListLabel 335"/>
    <w:qFormat/>
    <w:rPr>
      <w:rFonts w:ascii="Times New Roman" w:hAnsi="Times New Roman" w:eastAsia="Calibri" w:cs="Times New Roman"/>
      <w:sz w:val="24"/>
      <w:szCs w:val="24"/>
    </w:rPr>
  </w:style>
  <w:style w:type="character" w:styleId="680" w:customStyle="1">
    <w:name w:val="ListLabel 336"/>
    <w:qFormat/>
    <w:rPr>
      <w:rFonts w:ascii="Times New Roman" w:hAnsi="Times New Roman" w:cs="Times New Roman"/>
      <w:sz w:val="24"/>
      <w:szCs w:val="24"/>
      <w:highlight w:val="yellow"/>
    </w:rPr>
  </w:style>
  <w:style w:type="character" w:styleId="681" w:customStyle="1">
    <w:name w:val="ListLabel 337"/>
    <w:qFormat/>
    <w:rPr>
      <w:rFonts w:ascii="Times New Roman" w:hAnsi="Times New Roman" w:eastAsia="Calibri" w:cs="Times New Roman"/>
      <w:sz w:val="24"/>
      <w:szCs w:val="24"/>
      <w:highlight w:val="yellow"/>
    </w:rPr>
  </w:style>
  <w:style w:type="character" w:styleId="682" w:customStyle="1">
    <w:name w:val="ListLabel 338"/>
    <w:qFormat/>
    <w:rPr>
      <w:rFonts w:ascii="Times New Roman" w:hAnsi="Times New Roman" w:eastAsia="Calibri" w:cs="Times New Roman"/>
      <w:sz w:val="24"/>
      <w:szCs w:val="24"/>
      <w:highlight w:val="yellow"/>
    </w:rPr>
  </w:style>
  <w:style w:type="character" w:styleId="683" w:customStyle="1">
    <w:name w:val="ListLabel 339"/>
    <w:qFormat/>
    <w:rPr>
      <w:rFonts w:ascii="Times New Roman" w:hAnsi="Times New Roman" w:cs="Times New Roman"/>
      <w:sz w:val="24"/>
      <w:szCs w:val="24"/>
    </w:rPr>
  </w:style>
  <w:style w:type="character" w:styleId="684" w:customStyle="1">
    <w:name w:val="ListLabel 340"/>
    <w:qFormat/>
    <w:rPr>
      <w:rFonts w:ascii="Times New Roman" w:hAnsi="Times New Roman" w:eastAsia="Calibri" w:cs="Times New Roman"/>
      <w:sz w:val="24"/>
      <w:szCs w:val="24"/>
    </w:rPr>
  </w:style>
  <w:style w:type="character" w:styleId="685" w:customStyle="1">
    <w:name w:val="ListLabel 341"/>
    <w:qFormat/>
    <w:rPr>
      <w:rFonts w:ascii="Times New Roman" w:hAnsi="Times New Roman" w:eastAsia="Calibri" w:cs="Times New Roman"/>
      <w:sz w:val="24"/>
      <w:szCs w:val="24"/>
    </w:rPr>
  </w:style>
  <w:style w:type="character" w:styleId="686" w:customStyle="1">
    <w:name w:val="ListLabel 342"/>
    <w:qFormat/>
    <w:rPr>
      <w:rFonts w:ascii="Times New Roman" w:hAnsi="Times New Roman" w:cs="Times New Roman"/>
      <w:szCs w:val="24"/>
      <w:lang w:val="en-US"/>
    </w:rPr>
  </w:style>
  <w:style w:type="character" w:styleId="687">
    <w:name w:val="Hyperlink"/>
    <w:uiPriority w:val="99"/>
    <w:qFormat/>
    <w:rPr>
      <w:rFonts w:cs="Times New Roman"/>
      <w:color w:val="0000ff"/>
      <w:u w:val="single"/>
    </w:rPr>
  </w:style>
  <w:style w:type="character" w:styleId="688" w:customStyle="1">
    <w:name w:val="ListLabel 3"/>
    <w:qFormat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character" w:styleId="689" w:customStyle="1">
    <w:name w:val="ListLabel 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0" w:customStyle="1">
    <w:name w:val="ListLabel 5"/>
    <w:qFormat/>
    <w:rPr>
      <w:rFonts w:ascii="Times New Roman" w:hAnsi="Times New Roman"/>
      <w:sz w:val="24"/>
      <w:szCs w:val="24"/>
      <w:lang w:val="en-US" w:eastAsia="ru-RU"/>
    </w:rPr>
  </w:style>
  <w:style w:type="character" w:styleId="691" w:customStyle="1">
    <w:name w:val="ListLabel 343"/>
    <w:qFormat/>
    <w:rPr>
      <w:rFonts w:ascii="Times New Roman" w:hAnsi="Times New Roman" w:cs="Times New Roman"/>
      <w:sz w:val="24"/>
      <w:szCs w:val="24"/>
      <w:lang w:val="en-US"/>
    </w:rPr>
  </w:style>
  <w:style w:type="character" w:styleId="692" w:customStyle="1">
    <w:name w:val="ListLabel 344"/>
    <w:qFormat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character" w:styleId="693" w:customStyle="1">
    <w:name w:val="ListLabel 34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4" w:customStyle="1">
    <w:name w:val="ListLabel 346"/>
    <w:qFormat/>
    <w:rPr>
      <w:rFonts w:ascii="Times New Roman" w:hAnsi="Times New Roman"/>
      <w:sz w:val="24"/>
      <w:szCs w:val="24"/>
      <w:lang w:val="en-US" w:eastAsia="ru-RU"/>
    </w:rPr>
  </w:style>
  <w:style w:type="character" w:styleId="695" w:customStyle="1">
    <w:name w:val="ListLabel 347"/>
    <w:qFormat/>
    <w:rPr>
      <w:rFonts w:ascii="Times New Roman" w:hAnsi="Times New Roman"/>
      <w:sz w:val="24"/>
      <w:szCs w:val="24"/>
      <w:lang w:eastAsia="ru-RU"/>
    </w:rPr>
  </w:style>
  <w:style w:type="character" w:styleId="696" w:customStyle="1">
    <w:name w:val="ListLabel 348"/>
    <w:qFormat/>
    <w:rPr>
      <w:rFonts w:ascii="Times New Roman" w:hAnsi="Times New Roman"/>
      <w:sz w:val="24"/>
      <w:szCs w:val="24"/>
      <w:lang w:val="en-US"/>
    </w:rPr>
  </w:style>
  <w:style w:type="character" w:styleId="697" w:customStyle="1">
    <w:name w:val="ListLabel 349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698" w:customStyle="1">
    <w:name w:val="ListLabel 350"/>
    <w:qFormat/>
    <w:rPr>
      <w:rFonts w:ascii="Times New Roman" w:hAnsi="Times New Roman" w:cs="Times New Roman"/>
      <w:sz w:val="24"/>
      <w:szCs w:val="24"/>
    </w:rPr>
  </w:style>
  <w:style w:type="character" w:styleId="699" w:customStyle="1">
    <w:name w:val="ListLabel 351"/>
    <w:qFormat/>
    <w:rPr>
      <w:rFonts w:ascii="Times New Roman" w:hAnsi="Times New Roman" w:cs="Times New Roman"/>
      <w:sz w:val="24"/>
      <w:szCs w:val="24"/>
      <w:lang w:val="en-US"/>
    </w:rPr>
  </w:style>
  <w:style w:type="character" w:styleId="700" w:customStyle="1">
    <w:name w:val="ListLabel 352"/>
    <w:qFormat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character" w:styleId="701" w:customStyle="1">
    <w:name w:val="ListLabel 353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2" w:customStyle="1">
    <w:name w:val="ListLabel 354"/>
    <w:qFormat/>
    <w:rPr>
      <w:rFonts w:ascii="Times New Roman" w:hAnsi="Times New Roman"/>
      <w:sz w:val="24"/>
      <w:szCs w:val="24"/>
      <w:lang w:val="en-US" w:eastAsia="ru-RU"/>
    </w:rPr>
  </w:style>
  <w:style w:type="character" w:styleId="703" w:customStyle="1">
    <w:name w:val="ListLabel 355"/>
    <w:qFormat/>
    <w:rPr>
      <w:rFonts w:ascii="Times New Roman" w:hAnsi="Times New Roman"/>
      <w:sz w:val="24"/>
      <w:szCs w:val="24"/>
      <w:lang w:eastAsia="ru-RU"/>
    </w:rPr>
  </w:style>
  <w:style w:type="character" w:styleId="704" w:customStyle="1">
    <w:name w:val="ListLabel 356"/>
    <w:qFormat/>
    <w:rPr>
      <w:rFonts w:ascii="Times New Roman" w:hAnsi="Times New Roman"/>
      <w:sz w:val="24"/>
      <w:szCs w:val="24"/>
      <w:lang w:val="en-US"/>
    </w:rPr>
  </w:style>
  <w:style w:type="character" w:styleId="705" w:customStyle="1">
    <w:name w:val="ListLabel 357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706" w:customStyle="1">
    <w:name w:val="ListLabel 358"/>
    <w:qFormat/>
    <w:rPr>
      <w:rFonts w:ascii="Times New Roman" w:hAnsi="Times New Roman" w:cs="Times New Roman"/>
      <w:sz w:val="24"/>
      <w:szCs w:val="24"/>
    </w:rPr>
  </w:style>
  <w:style w:type="character" w:styleId="707" w:customStyle="1">
    <w:name w:val="Символ нумерации"/>
    <w:qFormat/>
  </w:style>
  <w:style w:type="paragraph" w:styleId="708" w:customStyle="1">
    <w:name w:val="Заголовок"/>
    <w:basedOn w:val="659"/>
    <w:next w:val="709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709">
    <w:name w:val="Body Text"/>
    <w:basedOn w:val="659"/>
    <w:pPr>
      <w:spacing w:after="140"/>
    </w:pPr>
  </w:style>
  <w:style w:type="paragraph" w:styleId="710">
    <w:name w:val="List"/>
    <w:basedOn w:val="709"/>
    <w:rPr>
      <w:rFonts w:ascii="Times New Roman" w:hAnsi="Times New Roman" w:cs="Arial"/>
    </w:rPr>
  </w:style>
  <w:style w:type="paragraph" w:styleId="711">
    <w:name w:val="Caption"/>
    <w:basedOn w:val="659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712">
    <w:name w:val="index heading"/>
    <w:basedOn w:val="659"/>
    <w:qFormat/>
    <w:pPr>
      <w:suppressLineNumbers/>
    </w:pPr>
    <w:rPr>
      <w:rFonts w:ascii="Times New Roman" w:hAnsi="Times New Roman" w:cs="Arial"/>
    </w:rPr>
  </w:style>
  <w:style w:type="paragraph" w:styleId="713">
    <w:name w:val="No Spacing"/>
    <w:qFormat/>
    <w:rPr>
      <w:rFonts w:ascii="Times New Roman" w:hAnsi="Times New Roman" w:eastAsia="Times New Roman" w:cs="Times New Roman"/>
      <w:sz w:val="22"/>
      <w:lang w:val="en-US" w:eastAsia="zh-CN"/>
    </w:rPr>
  </w:style>
  <w:style w:type="paragraph" w:styleId="714">
    <w:name w:val="List Paragraph"/>
    <w:basedOn w:val="659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715" w:customStyle="1">
    <w:name w:val="Содержимое таблицы"/>
    <w:basedOn w:val="659"/>
    <w:qFormat/>
    <w:pPr>
      <w:suppressLineNumbers/>
    </w:pPr>
  </w:style>
  <w:style w:type="paragraph" w:styleId="716" w:customStyle="1">
    <w:name w:val="Заголовок таблицы"/>
    <w:basedOn w:val="715"/>
    <w:qFormat/>
    <w:pPr>
      <w:jc w:val="center"/>
    </w:pPr>
    <w:rPr>
      <w:b/>
      <w:bCs/>
    </w:rPr>
  </w:style>
  <w:style w:type="paragraph" w:styleId="717" w:customStyle="1">
    <w:name w:val="Верхний и нижний колонтитулы"/>
    <w:basedOn w:val="659"/>
    <w:qFormat/>
  </w:style>
  <w:style w:type="paragraph" w:styleId="718">
    <w:name w:val="Header"/>
    <w:basedOn w:val="659"/>
    <w:uiPriority w:val="99"/>
    <w:pPr>
      <w:tabs>
        <w:tab w:val="center" w:pos="4659" w:leader="none"/>
        <w:tab w:val="right" w:pos="9318" w:leader="none"/>
      </w:tabs>
      <w:suppressLineNumbers/>
    </w:pPr>
  </w:style>
  <w:style w:type="paragraph" w:styleId="719" w:customStyle="1">
    <w:name w:val="Table Paragraph"/>
    <w:basedOn w:val="659"/>
    <w:qFormat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720">
    <w:name w:val="Normal (Web)"/>
    <w:basedOn w:val="65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1" w:customStyle="1">
    <w:name w:val="Table Style 2"/>
    <w:qFormat/>
    <w:rPr>
      <w:rFonts w:ascii="Arial Unicode MS" w:hAnsi="Arial Unicode MS" w:eastAsia="Arial Unicode MS" w:cs="Arial Unicode MS"/>
      <w:color w:val="000000"/>
      <w:sz w:val="22"/>
    </w:rPr>
  </w:style>
  <w:style w:type="paragraph" w:styleId="722">
    <w:name w:val="footnote text"/>
    <w:basedOn w:val="659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723">
    <w:name w:val="Footer"/>
    <w:basedOn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24" w:customStyle="1">
    <w:name w:val="Текст в заданном формате"/>
    <w:basedOn w:val="659"/>
    <w:qFormat/>
    <w:pPr>
      <w:spacing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725" w:customStyle="1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table" w:styleId="726">
    <w:name w:val="Table Grid"/>
    <w:basedOn w:val="66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ck-viktoriy@yandex.ru" TargetMode="External"/><Relationship Id="rId12" Type="http://schemas.openxmlformats.org/officeDocument/2006/relationships/hyperlink" Target="mailto:inbox@sk-yugra.ru" TargetMode="External"/><Relationship Id="rId13" Type="http://schemas.openxmlformats.org/officeDocument/2006/relationships/hyperlink" Target="http://sk-yugra.ru/" TargetMode="External"/><Relationship Id="rId14" Type="http://schemas.openxmlformats.org/officeDocument/2006/relationships/hyperlink" Target="mailto:vmuseum@yandex.ru" TargetMode="External"/><Relationship Id="rId15" Type="http://schemas.openxmlformats.org/officeDocument/2006/relationships/hyperlink" Target="mailto:UKD@nvraion.ru" TargetMode="External"/><Relationship Id="rId16" Type="http://schemas.openxmlformats.org/officeDocument/2006/relationships/hyperlink" Target="mailto:museum-varegan@mail.ru" TargetMode="External"/><Relationship Id="rId17" Type="http://schemas.openxmlformats.org/officeDocument/2006/relationships/hyperlink" Target="mailto:o.lende@mail.ru" TargetMode="External"/><Relationship Id="rId18" Type="http://schemas.openxmlformats.org/officeDocument/2006/relationships/hyperlink" Target="mailto:o.lende@mail.ru" TargetMode="External"/><Relationship Id="rId19" Type="http://schemas.openxmlformats.org/officeDocument/2006/relationships/hyperlink" Target="mailto:info@museumuray.ru" TargetMode="External"/><Relationship Id="rId20" Type="http://schemas.openxmlformats.org/officeDocument/2006/relationships/hyperlink" Target="http://www.museumuray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77DE-3E6B-4DE4-ADAE-2025FEC6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ArabadghiSV</dc:creator>
  <dc:description/>
  <dc:language>ru-RU</dc:language>
  <cp:revision>12</cp:revision>
  <dcterms:created xsi:type="dcterms:W3CDTF">2022-05-17T05:12:00Z</dcterms:created>
  <dcterms:modified xsi:type="dcterms:W3CDTF">2023-05-15T09:41:31Z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