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4" w:rsidRPr="005D1DE0" w:rsidRDefault="006627D4" w:rsidP="006627D4">
      <w:pPr>
        <w:rPr>
          <w:rFonts w:ascii="Times New Roman" w:hAnsi="Times New Roman" w:cs="Times New Roman"/>
          <w:bCs/>
          <w:sz w:val="24"/>
          <w:szCs w:val="24"/>
        </w:rPr>
      </w:pPr>
      <w:r w:rsidRPr="005D1DE0">
        <w:rPr>
          <w:rFonts w:ascii="Times New Roman" w:hAnsi="Times New Roman" w:cs="Times New Roman"/>
          <w:bCs/>
          <w:sz w:val="24"/>
          <w:szCs w:val="24"/>
        </w:rPr>
        <w:t>КАК СДЕЛАТЬ ОТПУСК И КАНИКУЛЫ РЕБЕНКА МАКСИМАЛЬНО ПОЛЕЗНЫМИ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DE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напоминает родителям о некоторых важных правилах безопасности при организации личного пространства и досуга ребенка.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bCs/>
          <w:sz w:val="24"/>
          <w:szCs w:val="24"/>
        </w:rPr>
        <w:t>1. Не давайте детям играть с мелкими деталями игрушек, батарейками и другими мелкими предметами, которые они могут случайно проглотить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Это правило особенно касается детей в возрасте до трех лет. Не храните мелкие предметы, детали, магниты, батарейки (особенно так называемые «кнопочного» типа для часов, брелоков и другой переносной электроники) в местах, доступных для маленьких детей. Они могут быть непреднамеренно проглочены детьми и застрять в желудке. Это может быть очень опасно, а в худшем случае, может привести к летальному исходу. Особая осторожность должна соблюдаться с мелкими предметами, особенно батарейками, которые в диаметре 20 мм и более, поскольку выше вероятность, что они застрянут в пищеводе ребенка. Проглоченная литиевая батарейка, к тому же, может генерировать электрический ток от контакта с жидкостями в желудке. Это может привести к серьезным повреждениям, а, следовательно, потребуется неотложная медицинская помощь и незамедлительное ее извлечение.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bCs/>
          <w:sz w:val="24"/>
          <w:szCs w:val="24"/>
        </w:rPr>
        <w:t>Что делать, если ребенок проглотил мелкую деталь или кнопочную батарейку: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немедленно обратиться к врачу или вызвать скорую помощь;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в случае с батарейкой не позволяйте вашему ребенку пить или есть, пока рентген не определит наличие батарейки;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если у вас есть упаковка от игрушки, мелких предметов, батареи или непосредственно само устройство или игрушка, часть которого была проглочена ребенком, возьмите их с собой, поскольку это поможет врачу идентифицировать проглоченный предмет, тип батареи или мелкой детали, ее химический состав.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bCs/>
          <w:sz w:val="24"/>
          <w:szCs w:val="24"/>
        </w:rPr>
        <w:t>2. Обращайте внимание на внешний вид и функциональность игрушек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При покупке игрушек обращайте внимание на их внешний вид, маркировку и следующие особенности конструкции, сборки: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DE0">
        <w:rPr>
          <w:rFonts w:ascii="Times New Roman" w:hAnsi="Times New Roman" w:cs="Times New Roman"/>
          <w:sz w:val="24"/>
          <w:szCs w:val="24"/>
        </w:rPr>
        <w:t xml:space="preserve">- 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ребенка.</w:t>
      </w:r>
      <w:proofErr w:type="gramEnd"/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lastRenderedPageBreak/>
        <w:t xml:space="preserve">- Игрушка со снарядом, выпускаемым при помощи пускового механизма, а также обладающий кинетической энергией снаряд, должны минимизировать риск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ребенка и (или) лица, присматривающего за ним.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Не допускается поверхностное окрашивание и роспись игрушек-погремушек и игрушек, контактирующих со ртом ребенка.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>-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6627D4" w:rsidRPr="002F0D44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2F0D44">
        <w:rPr>
          <w:rFonts w:ascii="Times New Roman" w:hAnsi="Times New Roman" w:cs="Times New Roman"/>
          <w:bCs/>
          <w:sz w:val="24"/>
          <w:szCs w:val="24"/>
        </w:rPr>
        <w:t>3. Помните об опасности переворачивающейся мебели.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 xml:space="preserve">По международной статистике 34% детей забираются на мебель. Если шкаф, тумба, комод, телевизор, другая мебель или бытовая техника, тяжелые или бьющиеся предметы интерьера доступны детям, не устойчивы или не закреплены, есть высокий риск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детей. Чаще всего получают травмы дети возрастной категории от 3 до 5 лет, однако статистика происшествий показывает, что пострадать могут даже младенцы. Следите, чтобы ребенок не мог самостоятельно открыть ящики комодов и шкафов, устанавливайте специальные замки и фиксаторы. Подробнее можно ознакомиться со специальным материалом на </w:t>
      </w:r>
      <w:hyperlink r:id="rId5" w:history="1">
        <w:r w:rsidRPr="005D1DE0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государственном информационном ресурсе в сфере защиты прав потребителей</w:t>
        </w:r>
      </w:hyperlink>
      <w:r w:rsidRPr="005D1DE0">
        <w:rPr>
          <w:rFonts w:ascii="Times New Roman" w:hAnsi="Times New Roman" w:cs="Times New Roman"/>
          <w:sz w:val="24"/>
          <w:szCs w:val="24"/>
        </w:rPr>
        <w:t>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bCs/>
          <w:sz w:val="24"/>
          <w:szCs w:val="24"/>
        </w:rPr>
        <w:t>4. Обратите внимание на особую уязвимость детей в цифровом мире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 xml:space="preserve">Современные дети - самая многочисленная и самая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медийно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активная часть социума. Современные дети родились и растут в домах, где зачастую есть два телевизора, планшет, смартфон, доступ в интернет, компьютер или ноутбук, игровая приставка и многое другое. Дети являются потребителями самых разных типов контента: ТВ, книги, журналы, брошюры, игры, музыка, кино, мультфильмы.</w:t>
      </w:r>
    </w:p>
    <w:p w:rsidR="006627D4" w:rsidRPr="005D1DE0" w:rsidRDefault="006627D4" w:rsidP="009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DE0">
        <w:rPr>
          <w:rFonts w:ascii="Times New Roman" w:hAnsi="Times New Roman" w:cs="Times New Roman"/>
          <w:sz w:val="24"/>
          <w:szCs w:val="24"/>
        </w:rPr>
        <w:t xml:space="preserve">Обращайте внимание, </w:t>
      </w:r>
      <w:proofErr w:type="gramStart"/>
      <w:r w:rsidRPr="005D1DE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D1DE0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медиаконтент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 xml:space="preserve"> потребляют дети. С особой осторожностью относитесь к играм, игрушкам, </w:t>
      </w:r>
      <w:proofErr w:type="spellStart"/>
      <w:r w:rsidRPr="005D1DE0">
        <w:rPr>
          <w:rFonts w:ascii="Times New Roman" w:hAnsi="Times New Roman" w:cs="Times New Roman"/>
          <w:sz w:val="24"/>
          <w:szCs w:val="24"/>
        </w:rPr>
        <w:t>медиаактивностям</w:t>
      </w:r>
      <w:proofErr w:type="spellEnd"/>
      <w:r w:rsidRPr="005D1DE0">
        <w:rPr>
          <w:rFonts w:ascii="Times New Roman" w:hAnsi="Times New Roman" w:cs="Times New Roman"/>
          <w:sz w:val="24"/>
          <w:szCs w:val="24"/>
        </w:rPr>
        <w:t>, эксплуатирующим детский азарт (детские казино, компьютерные игры с покупками и пожертвованиями). Учтите, что если к приложениям в компьютере или телефоне привязаны бан</w:t>
      </w:r>
      <w:bookmarkStart w:id="0" w:name="_GoBack"/>
      <w:bookmarkEnd w:id="0"/>
      <w:r w:rsidRPr="005D1DE0">
        <w:rPr>
          <w:rFonts w:ascii="Times New Roman" w:hAnsi="Times New Roman" w:cs="Times New Roman"/>
          <w:sz w:val="24"/>
          <w:szCs w:val="24"/>
        </w:rPr>
        <w:t xml:space="preserve">ковские карты, то дети смогут самостоятельно приобрести и установить практически любой контент, в том </w:t>
      </w:r>
      <w:proofErr w:type="gramStart"/>
      <w:r w:rsidRPr="005D1DE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D1DE0">
        <w:rPr>
          <w:rFonts w:ascii="Times New Roman" w:hAnsi="Times New Roman" w:cs="Times New Roman"/>
          <w:sz w:val="24"/>
          <w:szCs w:val="24"/>
        </w:rPr>
        <w:t xml:space="preserve"> не предназначенный для них и имеющий ограничения по возрасту. </w:t>
      </w:r>
    </w:p>
    <w:p w:rsidR="006627D4" w:rsidRPr="006627D4" w:rsidRDefault="006627D4" w:rsidP="006627D4">
      <w:r w:rsidRPr="006627D4">
        <w:rPr>
          <w:noProof/>
          <w:lang w:eastAsia="ru-RU"/>
        </w:rPr>
        <w:drawing>
          <wp:inline distT="0" distB="0" distL="0" distR="0" wp14:anchorId="1636ECE3" wp14:editId="542A6C5F">
            <wp:extent cx="6161401" cy="1906386"/>
            <wp:effectExtent l="0" t="0" r="0" b="0"/>
            <wp:docPr id="2" name="Рисунок 2" descr="http://15.rospotrebnadzor.ru/image/image_gallery?img_id=282825&amp;t=162255295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PR1-1253" descr="http://15.rospotrebnadzor.ru/image/image_gallery?img_id=282825&amp;t=1622552956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52" cy="19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D2" w:rsidRDefault="006627D4">
      <w:r w:rsidRPr="006627D4">
        <w:t> </w:t>
      </w:r>
    </w:p>
    <w:sectPr w:rsidR="00C8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9"/>
    <w:rsid w:val="002F0D44"/>
    <w:rsid w:val="005D1DE0"/>
    <w:rsid w:val="006627D4"/>
    <w:rsid w:val="00923502"/>
    <w:rsid w:val="00C871D2"/>
    <w:rsid w:val="00E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7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7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pp.rospotrebnadzor.ru/handbook/actual/105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gumarova</dc:creator>
  <cp:keywords/>
  <dc:description/>
  <cp:lastModifiedBy>gumarova</cp:lastModifiedBy>
  <cp:revision>5</cp:revision>
  <dcterms:created xsi:type="dcterms:W3CDTF">2022-05-24T09:51:00Z</dcterms:created>
  <dcterms:modified xsi:type="dcterms:W3CDTF">2022-05-24T11:23:00Z</dcterms:modified>
</cp:coreProperties>
</file>