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38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Заключение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146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о результатах публичных слушаний № 74 от 15.11.2021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  <w:lang w:val="ru-RU" w:eastAsia="ru-RU" w:bidi="ru-RU"/>
        </w:rPr>
        <w:t>По проекту планировки и проекту межевания территории для размещения объекта: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 «Высоконапорные водоводы на кустах с проектным давлением 190атм Среднебалыкского и Южно-Балыкского месторождения».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  <w:lang w:val="ru-RU" w:eastAsia="ru-RU" w:bidi="ru-RU"/>
        </w:rPr>
        <w:t>Общие сведения о проекте, представленном на публичные слушания: территория разработки: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 межселенная территория Нефтеюганского района. 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  <w:lang w:val="ru-RU" w:eastAsia="ru-RU" w:bidi="ru-RU"/>
        </w:rPr>
        <w:t>сроки разработки: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 30.07.2021 по 13.10.2021.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  <w:lang w:val="ru-RU" w:eastAsia="ru-RU" w:bidi="ru-RU"/>
        </w:rPr>
        <w:t>организация - заказчик: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 публичное акционерное общество «Нефтяная компания «Роснефть», 115035, г. Москва, Софийская набережная, 26/1.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  <w:lang w:val="ru-RU" w:eastAsia="ru-RU" w:bidi="ru-RU"/>
        </w:rPr>
        <w:t>организация - разработчик: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акционерное общество «Томский научно</w:t>
        <w:softHyphen/>
        <w:t xml:space="preserve">исследовательский и проектный институт нефти и газа», 634027 Россия, г.Томск, Мира пр., д.72, т.8(3822) 61-19-90,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E-mail: </w:t>
      </w:r>
      <w:r>
        <w:fldChar w:fldCharType="begin"/>
      </w:r>
      <w:r>
        <w:rPr/>
        <w:instrText> HYPERLINK "mailto:nipineft@tomsknipi.ru"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nipineft@tomsknipi.ru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  <w:lang w:val="ru-RU" w:eastAsia="ru-RU" w:bidi="ru-RU"/>
        </w:rPr>
        <w:t>Сроки проведения публичных слушаний: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 с 14.10.2021 по 15.11.2021.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  <w:lang w:val="ru-RU" w:eastAsia="ru-RU" w:bidi="ru-RU"/>
        </w:rPr>
        <w:t>Формы оповещения о проведении публичных слушаний: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 оповещение о проведении публичных слушаний опубликовано в газете «Югорское обозрение» от 14.10.2021 № 41 (1243) и размещено на официальном сайте органов местного самоуправления Нефтеюганского района в сети Интернет в рубрике «Градостроительство», подрубрике «Информация», и по адресу: Тюменская область, г.Нефтеюганск, мкр 3, д.21, холл 4 этаж.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  <w:lang w:val="ru-RU" w:eastAsia="ru-RU" w:bidi="ru-RU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 5 человек.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74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  <w:lang w:val="ru-RU" w:eastAsia="ru-RU" w:bidi="ru-RU"/>
        </w:rPr>
        <w:t>Сведения о проведении экспозиции по материалам: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74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Экспозиция проводится по адресу: Тюменская область, г.Нефтеюганск, мкр 3, д.21, холл 4 этаж.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Перечень информационных материалов: Утверждаемая часть проекта планировки территории (Чертеж границ зон планируемого размещения линейных объектов и чертеж красных линий, Чертеж границ зон планируемого размещения линейных объектов, подлежащих реконструкции в связи с изменением их местоположения, Положение о размещении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линейных объектов). Материалы по обоснованию проекта планировки территории (Схема расположения элементов планировочной структуры. Схема использования территории в период подготовки проекта планировки территории. Схема организации улично-дорожной сети, Схема вертикальной планировки территории, инженерной подготовки и инженерной защиты территории. Схема границ территории объектов культурного наследия. Схема границ зон с особыми условиями использования территории, особо охраняемых природных территорий, лесничеств. Схема границ территорий, подверженных риску возникновения чрезвычайных ситуаций природного и техногенного характера, Схема конструктивных и планировочных решений. Описание природно-климатических условия территории, в отношении которой разрабатывается проект планировки,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реконструкции в связи с изменением их местоположения,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объектов, Ведомость пересечений границ зон планируемого размещения линейного объекта (объектов) с сохраняемыми объектами капитального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территории,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т.д.), Инженерные изыскания.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Утверждаемая часть проекта межевания территории (Чертеж межевания территории, Перечень образуемых земельных участков, Перечень координат характерных точек образуемых земельных участков, Сведения о границах территории, применительно к которой осуществляется подготовка проекта межевания,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также существующих земельных участков, занятых линейных объектами и объектами капитального строительства, входящими в состав линейных объектов, в соответствии с проектом планировки территории . Материалы по обоснованию проекта межевания территории (Чертежи по обоснованию проекта межевания территории, Обоснование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участков, Обоснование способа образования земельного участка, Обоснование определения размеров образуемого земельного участка, Обоснование определения границ публичного сервитута, подлежащего установлению в соответствии с законодательством Российской Федерации).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Предложения и замечания при проведении экспозиции не поступали.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Сведения о протоколе публичных слушаний: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№ 74 от 28.10.2021 г.</w:t>
      </w:r>
    </w:p>
    <w:tbl>
      <w:tblPr>
        <w:tblOverlap w:val="never"/>
        <w:jc w:val="center"/>
        <w:tblLayout w:type="fixed"/>
      </w:tblPr>
      <w:tblGrid>
        <w:gridCol w:w="2506"/>
        <w:gridCol w:w="3706"/>
        <w:gridCol w:w="994"/>
        <w:gridCol w:w="2659"/>
      </w:tblGrid>
      <w:tr>
        <w:trPr>
          <w:trHeight w:val="7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Содержание внесенных предложений и замечаний участников публичных слушаний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Колич ество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>
        <w:trPr>
          <w:trHeight w:val="37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Предложения и замечания иных участников публичных слушаний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Выводы по результатам публичных слушаний:</w:t>
      </w:r>
    </w:p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740"/>
        <w:jc w:val="both"/>
        <w:rPr>
          <w:sz w:val="26"/>
          <w:szCs w:val="26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661" w:left="1648" w:right="340" w:bottom="1090" w:header="233" w:footer="662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1. Публичные слушания по проекту планировки и проекту межевания территории для размещения объекта: «Высоконапорные водоводы на кустах с проектным давлением 190атм Среднебалыкского и Южно-Балыкского месторождения» проведены в соответствии с действующим законодательством и</w:t>
      </w:r>
    </w:p>
    <w:p>
      <w:pPr>
        <w:pStyle w:val="Style2"/>
        <w:keepNext w:val="0"/>
        <w:keepLines w:val="0"/>
        <w:framePr w:w="9446" w:h="2751" w:wrap="none" w:hAnchor="page" w:x="165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Положением о порядке организации и проведения публичных слушаний в Нефтеюганском районе.</w:t>
      </w:r>
    </w:p>
    <w:p>
      <w:pPr>
        <w:pStyle w:val="Style2"/>
        <w:keepNext w:val="0"/>
        <w:keepLines w:val="0"/>
        <w:framePr w:w="9446" w:h="2751" w:wrap="none" w:hAnchor="page" w:x="1651" w:y="1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2. Рекомендовать принять решение об утверждении проекта планировки и проекта межевания территории для размещения объекта: «Высоконапорные водоводы на кустах с проектным давлением 190атм Среднебалыкского и Южно- Балыкского месторождения».</w:t>
      </w:r>
    </w:p>
    <w:p>
      <w:pPr>
        <w:pStyle w:val="Style2"/>
        <w:keepNext w:val="0"/>
        <w:keepLines w:val="0"/>
        <w:framePr w:w="9446" w:h="2751" w:wrap="none" w:hAnchor="page" w:x="1651" w:y="1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>
      <w:pPr>
        <w:pStyle w:val="Style2"/>
        <w:keepNext w:val="0"/>
        <w:keepLines w:val="0"/>
        <w:framePr w:w="1550" w:h="334" w:wrap="none" w:hAnchor="page" w:x="1656" w:y="41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Председатель</w:t>
      </w:r>
    </w:p>
    <w:p>
      <w:pPr>
        <w:pStyle w:val="Style2"/>
        <w:keepNext w:val="0"/>
        <w:keepLines w:val="0"/>
        <w:framePr w:w="4639" w:h="1531" w:wrap="none" w:hAnchor="page" w:x="4136" w:y="4154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hyphen" w:pos="4434" w:val="left"/>
        </w:tabs>
        <w:bidi w:val="0"/>
        <w:spacing w:before="0" w:after="0" w:line="192" w:lineRule="auto"/>
        <w:ind w:left="0" w:right="0" w:firstLine="0"/>
        <w:jc w:val="left"/>
      </w:pPr>
      <w:r>
        <w:rPr>
          <w:i/>
          <w:iCs/>
          <w:color w:val="D9D9D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[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>\</w:t>
      </w:r>
    </w:p>
    <w:p>
      <w:pPr>
        <w:pStyle w:val="Style13"/>
        <w:keepNext w:val="0"/>
        <w:keepLines w:val="0"/>
        <w:framePr w:w="4639" w:h="1531" w:wrap="none" w:hAnchor="page" w:x="4136" w:y="4154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 ПОДПИСАН</w:t>
        <w:br/>
        <w:t>ЭЛЕКТРОННОЙ ПОДПИСЬЮ</w:t>
      </w:r>
    </w:p>
    <w:p>
      <w:pPr>
        <w:pStyle w:val="Style15"/>
        <w:keepNext w:val="0"/>
        <w:keepLines w:val="0"/>
        <w:framePr w:w="4639" w:h="1531" w:wrap="none" w:hAnchor="page" w:x="4136" w:y="4154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4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Сертификат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34BD50A600020002F80B</w:t>
      </w:r>
    </w:p>
    <w:p>
      <w:pPr>
        <w:pStyle w:val="Style15"/>
        <w:keepNext w:val="0"/>
        <w:keepLines w:val="0"/>
        <w:framePr w:w="4639" w:h="1531" w:wrap="none" w:hAnchor="page" w:x="4136" w:y="4154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40" w:line="240" w:lineRule="auto"/>
        <w:ind w:left="0" w:right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Владелец </w:t>
      </w: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Фоминых Алена Валентиновна</w:t>
      </w:r>
    </w:p>
    <w:p>
      <w:pPr>
        <w:pStyle w:val="Style15"/>
        <w:keepNext w:val="0"/>
        <w:keepLines w:val="0"/>
        <w:framePr w:w="4639" w:h="1531" w:wrap="none" w:hAnchor="page" w:x="4136" w:y="4154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8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Действителен с 05.10.2021 по 05.10.2022</w:t>
      </w:r>
    </w:p>
    <w:p>
      <w:pPr>
        <w:pStyle w:val="Style2"/>
        <w:keepNext w:val="0"/>
        <w:keepLines w:val="0"/>
        <w:framePr w:w="1655" w:h="315" w:wrap="none" w:hAnchor="page" w:x="8837" w:y="41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Фоминых А.В.</w:t>
      </w:r>
    </w:p>
    <w:p>
      <w:pPr>
        <w:pStyle w:val="Style2"/>
        <w:keepNext w:val="0"/>
        <w:keepLines w:val="0"/>
        <w:framePr w:w="1178" w:h="334" w:wrap="none" w:hAnchor="page" w:x="1656" w:y="58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Секретарь</w:t>
      </w:r>
    </w:p>
    <w:p>
      <w:pPr>
        <w:pStyle w:val="Style2"/>
        <w:keepNext w:val="0"/>
        <w:keepLines w:val="0"/>
        <w:framePr w:w="1607" w:h="320" w:wrap="none" w:hAnchor="page" w:x="9118" w:y="58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Ведягина Е.Н.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550" w:left="1650" w:right="803" w:bottom="550" w:header="122" w:footer="12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Подпись к таблиц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CharStyle10">
    <w:name w:val="Друго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Основной текст (3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">
    <w:name w:val="Основной текст (2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Подпись к таблице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paragraph" w:customStyle="1" w:styleId="Style9">
    <w:name w:val="Другое"/>
    <w:basedOn w:val="Normal"/>
    <w:link w:val="CharStyle10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3">
    <w:name w:val="Основной текст (3)"/>
    <w:basedOn w:val="Normal"/>
    <w:link w:val="CharStyle14"/>
    <w:pPr>
      <w:widowControl w:val="0"/>
      <w:shd w:val="clear" w:color="auto" w:fill="FFFFFF"/>
      <w:spacing w:after="140" w:line="254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5">
    <w:name w:val="Основной текст (2)"/>
    <w:basedOn w:val="Normal"/>
    <w:link w:val="CharStyle16"/>
    <w:pPr>
      <w:widowControl w:val="0"/>
      <w:shd w:val="clear" w:color="auto" w:fill="FFFFFF"/>
      <w:spacing w:after="60"/>
      <w:ind w:firstLine="2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