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22FA7942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023A75">
        <w:rPr>
          <w:spacing w:val="2"/>
          <w:sz w:val="25"/>
          <w:szCs w:val="25"/>
        </w:rPr>
        <w:t>29</w:t>
      </w:r>
      <w:r w:rsidRPr="001B6599">
        <w:rPr>
          <w:spacing w:val="2"/>
          <w:sz w:val="25"/>
          <w:szCs w:val="25"/>
        </w:rPr>
        <w:t xml:space="preserve"> от </w:t>
      </w:r>
      <w:r w:rsidR="001B6599" w:rsidRPr="001B6599">
        <w:rPr>
          <w:spacing w:val="2"/>
          <w:sz w:val="25"/>
          <w:szCs w:val="25"/>
        </w:rPr>
        <w:t>1</w:t>
      </w:r>
      <w:r w:rsidR="00183C6E">
        <w:rPr>
          <w:spacing w:val="2"/>
          <w:sz w:val="25"/>
          <w:szCs w:val="25"/>
        </w:rPr>
        <w:t>8</w:t>
      </w:r>
      <w:r w:rsidR="00CF3632">
        <w:rPr>
          <w:spacing w:val="2"/>
          <w:sz w:val="25"/>
          <w:szCs w:val="25"/>
        </w:rPr>
        <w:t>.04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7BB3F11D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023A75" w:rsidRPr="001D1F7C">
        <w:rPr>
          <w:sz w:val="26"/>
          <w:szCs w:val="26"/>
        </w:rPr>
        <w:t>Линейные коммуникации для кустовой площадки №</w:t>
      </w:r>
      <w:r w:rsidR="00023A75">
        <w:rPr>
          <w:sz w:val="26"/>
          <w:szCs w:val="26"/>
        </w:rPr>
        <w:t xml:space="preserve"> 6у</w:t>
      </w:r>
      <w:r w:rsidR="00023A75" w:rsidRPr="001D1F7C">
        <w:rPr>
          <w:sz w:val="26"/>
          <w:szCs w:val="26"/>
        </w:rPr>
        <w:t xml:space="preserve"> </w:t>
      </w:r>
      <w:proofErr w:type="spellStart"/>
      <w:r w:rsidR="00023A75">
        <w:rPr>
          <w:sz w:val="26"/>
          <w:szCs w:val="26"/>
        </w:rPr>
        <w:t>Омбинского</w:t>
      </w:r>
      <w:proofErr w:type="spellEnd"/>
      <w:r w:rsidR="00023A75" w:rsidRPr="001D1F7C">
        <w:rPr>
          <w:sz w:val="26"/>
          <w:szCs w:val="26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206E7F96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903294" w:rsidRPr="00903294">
        <w:rPr>
          <w:sz w:val="25"/>
          <w:szCs w:val="25"/>
        </w:rPr>
        <w:t>17.06.2021 по 10.03.2022</w:t>
      </w:r>
      <w:r w:rsidRPr="00183C6E">
        <w:rPr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</w:t>
      </w:r>
      <w:bookmarkStart w:id="0" w:name="_GoBack"/>
      <w:bookmarkEnd w:id="0"/>
      <w:r w:rsidRPr="0086496A">
        <w:rPr>
          <w:spacing w:val="2"/>
          <w:sz w:val="25"/>
          <w:szCs w:val="25"/>
        </w:rPr>
        <w:t xml:space="preserve">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4D4C1BF9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183C6E" w:rsidRPr="00183C6E">
        <w:rPr>
          <w:spacing w:val="2"/>
          <w:sz w:val="25"/>
          <w:szCs w:val="25"/>
        </w:rPr>
        <w:t>17.03.2022 по 18.04.2022</w:t>
      </w:r>
      <w:r w:rsidRPr="00183C6E">
        <w:rPr>
          <w:spacing w:val="2"/>
          <w:sz w:val="25"/>
          <w:szCs w:val="25"/>
        </w:rPr>
        <w:t>.</w:t>
      </w:r>
    </w:p>
    <w:p w14:paraId="4DCFFB1C" w14:textId="6FA07726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17.03.2022 № 11 (1256)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660F1B4B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7F4507">
        <w:rPr>
          <w:sz w:val="25"/>
          <w:szCs w:val="25"/>
        </w:rPr>
        <w:t>5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</w:t>
      </w:r>
      <w:r w:rsidRPr="00865592">
        <w:rPr>
          <w:noProof/>
          <w:sz w:val="25"/>
          <w:szCs w:val="25"/>
        </w:rPr>
        <w:lastRenderedPageBreak/>
        <w:t>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558BCA15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183C6E">
        <w:rPr>
          <w:color w:val="000000" w:themeColor="text1"/>
          <w:spacing w:val="2"/>
          <w:sz w:val="25"/>
          <w:szCs w:val="25"/>
        </w:rPr>
        <w:t>2</w:t>
      </w:r>
      <w:r w:rsidR="00023A75">
        <w:rPr>
          <w:color w:val="000000" w:themeColor="text1"/>
          <w:spacing w:val="2"/>
          <w:sz w:val="25"/>
          <w:szCs w:val="25"/>
        </w:rPr>
        <w:t>7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941B16">
        <w:rPr>
          <w:spacing w:val="2"/>
          <w:sz w:val="25"/>
          <w:szCs w:val="25"/>
        </w:rPr>
        <w:t>04.04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6249E8A7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941B16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6BC53125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941B16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F0D7F58" w:rsidR="00B62810" w:rsidRPr="00DC2636" w:rsidRDefault="00DC2636" w:rsidP="0061117E">
      <w:pPr>
        <w:rPr>
          <w:rFonts w:eastAsiaTheme="minorHAnsi"/>
          <w:sz w:val="26"/>
          <w:szCs w:val="26"/>
          <w:lang w:eastAsia="en-US"/>
        </w:rPr>
      </w:pPr>
      <w:r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8EFB" w14:textId="77777777" w:rsidR="002119A2" w:rsidRDefault="002119A2">
      <w:r>
        <w:separator/>
      </w:r>
    </w:p>
  </w:endnote>
  <w:endnote w:type="continuationSeparator" w:id="0">
    <w:p w14:paraId="20B4C6D7" w14:textId="77777777" w:rsidR="002119A2" w:rsidRDefault="0021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AEA9" w14:textId="77777777" w:rsidR="002119A2" w:rsidRDefault="002119A2">
      <w:r>
        <w:separator/>
      </w:r>
    </w:p>
  </w:footnote>
  <w:footnote w:type="continuationSeparator" w:id="0">
    <w:p w14:paraId="4D0198D5" w14:textId="77777777" w:rsidR="002119A2" w:rsidRDefault="0021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CF3632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3A75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0E18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19A2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1EEB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450C"/>
    <w:rsid w:val="00736864"/>
    <w:rsid w:val="00744F70"/>
    <w:rsid w:val="00753E7D"/>
    <w:rsid w:val="007638CE"/>
    <w:rsid w:val="00771B0A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D5C68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294"/>
    <w:rsid w:val="0090387F"/>
    <w:rsid w:val="00904FF1"/>
    <w:rsid w:val="00913963"/>
    <w:rsid w:val="009157A4"/>
    <w:rsid w:val="00916FDC"/>
    <w:rsid w:val="00941B16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3632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3EAA"/>
    <w:rsid w:val="00DC6A63"/>
    <w:rsid w:val="00DD04FA"/>
    <w:rsid w:val="00DF048F"/>
    <w:rsid w:val="00DF4837"/>
    <w:rsid w:val="00E216DC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B3BD-3C12-413D-B5C5-EDDE0E4D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29</cp:revision>
  <cp:lastPrinted>2022-04-18T09:18:00Z</cp:lastPrinted>
  <dcterms:created xsi:type="dcterms:W3CDTF">2020-09-29T05:42:00Z</dcterms:created>
  <dcterms:modified xsi:type="dcterms:W3CDTF">2022-04-19T04:44:00Z</dcterms:modified>
</cp:coreProperties>
</file>