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июня 2013 г. N 214-п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"ЛУЧШИЙ ОЗДОРОВИТЕЛЬНЫЙ ЛАГЕРЬ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ЮГРЫ"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подпрограммы I</w:t>
        </w:r>
      </w:hyperlink>
      <w:r>
        <w:rPr>
          <w:rFonts w:ascii="Calibri" w:hAnsi="Calibri" w:cs="Calibri"/>
        </w:rPr>
        <w:t xml:space="preserve"> "Дети Югры" государственной программы Ханты-Мансийского автономного округа - Югры "Социальная поддержка жителей Ханты-Мансийского автономного округа - Югры на 2014 - 2020 годы", утвержденной постановлением Правительства Ханты-Мансийского автономного округа - Югры от 9 октября 2013 года N 421-п, в целях выявления организаций, расположенных в Ханты-Мансийском автономном округе - Югре, осуществляющих деятельность по отдыху и оздоровлению детей, имеющих наилучшие показатели деятельности, Правительство Ханты-Мансийского автономного округа - Югры постановляет: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конкурсе "Лучший оздоровительный лагерь Ханты-Мансийского автономного округа - Югры".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2013 года N 214-п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"ЛУЧШИЙ ОЗДОРОВИТЕЛЬНЫЙ ЛАГЕРЬ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ЮГРЫ"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ПОЛОЖЕНИЕ)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1. Общие положения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определяет порядок организации и проведения конкурса "Лучший оздоровительный лагерь Ханты-Мансийского автономного округа - Югры" (далее - конкурс) в целях выявления из числа расположенных в Ханты-Мансийском автономном округе - Югре (далее - автономный округ) организаций, осуществляющих деятельность по отдыху и </w:t>
      </w:r>
      <w:r>
        <w:rPr>
          <w:rFonts w:ascii="Calibri" w:hAnsi="Calibri" w:cs="Calibri"/>
        </w:rPr>
        <w:lastRenderedPageBreak/>
        <w:t>оздоровлению детей (далее - оздоровительные учреждения), имеющих наилучшие показатели деятельности в указанной сфере.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Организатором конкурса является Департамент социального развития автономного округа (далее - Департамент), который утверждает состав организационного комитета по проведению конкурса (далее - Организационный комитет) и положение об Организационном комитете.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Задачами конкурса являются: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 Сохранение, совершенствование и развитие системы отдыха и оздоровления детей в автономном округе.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Распространение передового опыта работы лучших оздоровительных учреждений.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Повышение роли оздоровительных учреждений в обеспечении развития творческого потенциала детей, занятия их физической культурой, спортом и туризмом; формировании у них навыков здорового образа жизни.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1.3.4. Повышение качества услуг, предоставляемых в сфере организации отдыха и оздоровления детей.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Конкурс проводится по четырем номинациям: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1.4.1. "Лучший загородный оздоровительный лагерь".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1.4.2. "Лучший палаточный лагерь".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1.4.3. "Лучший лагерь с дневным пребыванием детей".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1.4.4. "Лучший лагерь с этнокультурным компонентом".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1.4.4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Участники конкурса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конкурса являются оздоровительные учреждения независимо от ведомственной принадлежности и организационно-правовой формы собственности, действующие в автономном округе не менее одного года (на момент объявления конкурса), соответствующие в совокупности следующим критериям: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имеющие паспорт организации отдыха и оздоровления детей, сформированный в соответствии с требованиями, установленными </w:t>
      </w:r>
      <w:hyperlink r:id="rId1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автономного округа от 3 ноября 2011 года N 624-рп "О типовой форме паспорта организаций отдыха и оздоровления детей и подростков, действующих в Ханты-Мансийском автономном округе - Югре" (на момент подачи заявки для участия в первом этапе конкурса);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включенные в реестр организаций, осуществляющих деятельность по организации отдыха и оздоровления детей в автономном округе (на момент подачи заявки для участия в первом этапе конкурса);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06.06.2014 N 210-п.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3. Условия и порядок проведения конкурса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Конкурс проводится в 2 этапа: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Первый этап - муниципальный; проводится муниципальными образованиями автономного округа в соответствии с утвержденными ими порядками, руководствуясь перечнем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Второй этап - окружной; проводится с 20 августа по 10 сентября текущего года.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 xml:space="preserve">3.2. Для участия в окружном этапе муниципальные образования автономного округа представляют (направляют почтовой связью) не позднее 20 августа текущего года в Департамент заявку на участие оздоровительных учреждений - победителей муниципального этапа конкурса (далее - заявка, заявки) по форме согласно </w:t>
      </w:r>
      <w:hyperlink w:anchor="Par191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на бумажном и электронном носителях.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3.2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3.3. К заявке прилагаются следующие документы: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06.06.2014 N 210-п;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информационно-аналитическая записка о деятельности оздоровительного учреждения (объемом не более 5 страниц формата А4), содержащая сведения: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истории его создания;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обеспеченности спортивным, игровым, трудовым инвентарем, библиотечным фондом, материалами для занятий творчеством;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возрастном составе детей, количестве и численности их отрядов (групп);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количестве и продолжительности смен;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предоставляемых услугах отдыха и оздоровления детей;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средней заполняемости (рассчитываемой в процентном соотношении численности детей, отдохнувших в оздоровительном учреждении за год, предшествующий проведению конкурса, к предельному числу мест);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отсутствии/выявлении очагов инфекционных болезней детей, травматизма, несчастных случаев, произошедших с ними в период пребывания в оздоровительном учреждении в текущем году, а также в году, предшествующем проведению конкурса;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06.06.2014 N 210-п;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мероприятий, способствующих сохранению, развитию, популяризации фольклора, традиций, языка, народных промыслов и традиционной хозяйственной деятельности коренных малочисленных народов Севера, развитию этнографического туризма (дополнительно для номинации "Лучший лагерь с этнокультурным компонентом");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количестве детей, находящихся в трудной жизненной ситуации, а также состоящих на учете в Комиссии по делам несовершеннолетних и защите их прав, посещающих оздоровительное учреждение в текущем году, а также в году, предшествующем проведению конкурса;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фото-, видеоматериалы, иллюстрирующие образовательно-досуговую деятельность оздоровительного учреждения, а также созданные условия отдыха и оздоровления детей;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прохождение специалистами, обеспечивающими отдых, оздоровление и занятость детей, профессиональной подготовки, обучения по вопросам пожарной безопасности, санитарно-гигиенических требований, подготовки кадров в период проведения оздоровительной кампании детей в текущем году, а также в году, предшествующем проведению конкурса;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программа развития оздоровительного учреждения, направленная на организацию досуга детей;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программа оздоровительной смены, план-сетка мероприятий;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программа оздоровительных процедур и медицинских услуг;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копия положения (приказа) о проведении внутреннего контроля качества предоставляемых детям услуг в оздоровительном учреждении;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отзывы (родителей, детей, работников лагеря, независимых организаций, в том числе в средствах массовой информации) о деятельности оздоровительного учреждения (при наличии).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течение трех рабочих дней со дня поступления заявки и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настоящего Положения, Департамент осуществляет в порядке межведомственного информационного взаимодействия в соответствии с требованиями законодательства Российской Федерации запрос: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документа (сведений) территориального отдела Управления Роспотребнадзора по Ханты-Мансийскому автономному округу - Югре об отсутствии/выявлении нарушений оздоровительным учреждением санитарного эпидемиологического законодательства при проведении оздоровительной кампании детей в текущем году, а также в году, предшествующем проведению </w:t>
      </w:r>
      <w:r>
        <w:rPr>
          <w:rFonts w:ascii="Calibri" w:hAnsi="Calibri" w:cs="Calibri"/>
        </w:rPr>
        <w:lastRenderedPageBreak/>
        <w:t>конкурса;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документа территориального отдела Главного управления Министерства Российской Федерации по делам гражданской обороны, чрезвычайным ситуациям и ликвидации стихийных бедствий по Ханты-Мансийскому автономному округу - Югре об отсутствии/выявлении в оздоровительном учреждении нарушений требований пожарной безопасности при проведении оздоровительной кампании детей в текущем году, а также в году, предшествующем проведению конкурса.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 каждой номинации муниципальным образованием автономного округа может быть представлена только одна заявка.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Заявка, поступившая в Департамент после 20 августа текущего года, к участию в конкурсе не допускается.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Заявки могут быть отозваны муниципальными образованиями автономного округа до окончания срока их приема, указанного в </w:t>
      </w:r>
      <w:hyperlink w:anchor="Par72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настоящего Положения, путем направления в Департамент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Заявки и документы, указанные в </w:t>
      </w:r>
      <w:hyperlink w:anchor="Par74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настоящего Положения, поступившие в Департамент, не позднее 1 рабочего дня со дня окончания срока их приема передаются в Организационный комитет.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Организационный комитет в течение трех рабочих дней со дня окончания срока приема заявок рассматривает их в целях решения вопроса о допущении (недопущении) оздоровительных учреждений к участию в конкурсе.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Оздоровительные учреждения, указанные в заявке, не допускаются к участию в конкурсе, если: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 соответствуют требованиям, установленным </w:t>
      </w:r>
      <w:hyperlink w:anchor="Par5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отсутствуют документы, предусмотренные </w:t>
      </w:r>
      <w:hyperlink w:anchor="Par74" w:history="1">
        <w:r>
          <w:rPr>
            <w:rFonts w:ascii="Calibri" w:hAnsi="Calibri" w:cs="Calibri"/>
            <w:color w:val="0000FF"/>
          </w:rPr>
          <w:t>пунктом 3.3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3.11. Решение Организационного комитета о допущении (недопущении) оздоровительных учреждений к участию в конкурсе оформляется протоколом, который подписывается всеми его членами и размещается на информационном портале "Перспективное детство Югры", в средствах массовой информации.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Организационный комитет в течение двух рабочих дней со дня принятия одного из решений, указанных в </w:t>
      </w:r>
      <w:hyperlink w:anchor="Par115" w:history="1">
        <w:r>
          <w:rPr>
            <w:rFonts w:ascii="Calibri" w:hAnsi="Calibri" w:cs="Calibri"/>
            <w:color w:val="0000FF"/>
          </w:rPr>
          <w:t>пункте 3.11</w:t>
        </w:r>
      </w:hyperlink>
      <w:r>
        <w:rPr>
          <w:rFonts w:ascii="Calibri" w:hAnsi="Calibri" w:cs="Calibri"/>
        </w:rPr>
        <w:t xml:space="preserve"> настоящего Положения, вручает (направляет почтовой связью) оздоровительному учреждению соответствующее уведомление.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 случае отсутствия заявок в одной из номинации конкурса он в отношении данной номинации признается несостоявшимся, о чем Организационным комитетом в срок не позднее трех рабочих дней со дня окончания срока приема заявок оформляется протокол, который подписывается всеми его членами и размещается на информационном портале "Перспективное детство Югры", в средствах массовой информации.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4. Определение победителей конкурса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1"/>
      <w:bookmarkEnd w:id="10"/>
      <w:r>
        <w:rPr>
          <w:rFonts w:ascii="Calibri" w:hAnsi="Calibri" w:cs="Calibri"/>
        </w:rPr>
        <w:t xml:space="preserve">4.1. В целях определения победителей конкурса Организационным комитетом до 10 сентября текущего года осуществляется оценка представленных согласно </w:t>
      </w:r>
      <w:hyperlink w:anchor="Par74" w:history="1">
        <w:r>
          <w:rPr>
            <w:rFonts w:ascii="Calibri" w:hAnsi="Calibri" w:cs="Calibri"/>
            <w:color w:val="0000FF"/>
          </w:rPr>
          <w:t>пункту 3.3</w:t>
        </w:r>
      </w:hyperlink>
      <w:r>
        <w:rPr>
          <w:rFonts w:ascii="Calibri" w:hAnsi="Calibri" w:cs="Calibri"/>
        </w:rPr>
        <w:t xml:space="preserve"> настоящего Положения документов, по следующим критериям: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средняя заполняемость оздоровительного учреждения (рассчитывается в процентном соотношении численности детей, отдохнувших в оздоровительном учреждении за год, предшествующий проведению конкурса, к предельному числу мест);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условия проживания детей (на основании представленных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благоустроенность территории, наличие спортивных, игровых площадок, помещений для кружковой работы, комнат отдыха, материально-техническая обеспеченность оздоровительного учреждения;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обеспеченность спортивным, игровым инвентарем, материалами для занятий творчеством, библиотечным фондом;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актуальность и инновационность программы оздоровительной смены;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укомплектованность оздоровительного учреждения педагогическим и медицинским персоналом, прохождение ими профессиональной подготовки к оздоровительной кампании;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отсутствие: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очагов инфекционных болезней детей в период проведения оздоровительной кампании в текущем году и году, предшествующем проведению конкурса;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нарушений требований пожарной безопасности при проведении оздоровительной кампании детей в текущем году, а также в году, предшествующем проведению конкурса;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травматизма детей, несчастных случаев, чрезвычайных ситуаций в период проведения оздоровительной кампании в текущем году, а также в году, предшествующем проведению конкурса;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нарушений требований санитарного эпидемиологического законодательства, в том числе организации питания в период проведения оздоровительной кампании в текущем году, а также в году, предшествующем проведению конкурса.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4.2. Дополнительными критериями оценки заявок и представленных документов для номинации "Лучший лагерь с этнокультурным компонентом" являются: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привлечение специалистов, носителей традиционных знаний коренных малочисленных народов Севера в сфере изучения родного языка, фольклора, танцевального и музыкального искусства декоративно-прикладного творчества, этноспорта, этнографии и этнологии, традиционных навыков (ловля рыбы народными способами, сбор дикоросов, установка и плетение рыболовецких снастей и изготовление охотничьих ловушек);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фольклорного и этнографического материала коренных малочисленных народов Севера;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и использование участниками смены традиционной одежды обских угров;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обеспеченность традиционными предметами быта коренных малочисленных народов Севера.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Члены Организационного комитета вправе осуществлять осмотр оздоровительных учреждений - участников конкурса в целях установления их соответствия критериям, указанным в </w:t>
      </w:r>
      <w:hyperlink w:anchor="Par121" w:history="1">
        <w:r>
          <w:rPr>
            <w:rFonts w:ascii="Calibri" w:hAnsi="Calibri" w:cs="Calibri"/>
            <w:color w:val="0000FF"/>
          </w:rPr>
          <w:t>пунктах 4.1</w:t>
        </w:r>
      </w:hyperlink>
      <w:r>
        <w:rPr>
          <w:rFonts w:ascii="Calibri" w:hAnsi="Calibri" w:cs="Calibri"/>
        </w:rPr>
        <w:t xml:space="preserve">, </w:t>
      </w:r>
      <w:hyperlink w:anchor="Par135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Оценка заявок и представленных документов Организационным комитетом осуществляется по десятибалльной шкале по каждому критерию, указанному в </w:t>
      </w:r>
      <w:hyperlink w:anchor="Par121" w:history="1">
        <w:r>
          <w:rPr>
            <w:rFonts w:ascii="Calibri" w:hAnsi="Calibri" w:cs="Calibri"/>
            <w:color w:val="0000FF"/>
          </w:rPr>
          <w:t>пунктах 4.1</w:t>
        </w:r>
      </w:hyperlink>
      <w:r>
        <w:rPr>
          <w:rFonts w:ascii="Calibri" w:hAnsi="Calibri" w:cs="Calibri"/>
        </w:rPr>
        <w:t xml:space="preserve">, </w:t>
      </w:r>
      <w:hyperlink w:anchor="Par135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Победителем конкурса признается оздоровительное учреждение, набравшее наибольшее суммарное количество баллов по всем критериям, указанным в </w:t>
      </w:r>
      <w:hyperlink w:anchor="Par121" w:history="1">
        <w:r>
          <w:rPr>
            <w:rFonts w:ascii="Calibri" w:hAnsi="Calibri" w:cs="Calibri"/>
            <w:color w:val="0000FF"/>
          </w:rPr>
          <w:t>пунктах 4.1</w:t>
        </w:r>
      </w:hyperlink>
      <w:r>
        <w:rPr>
          <w:rFonts w:ascii="Calibri" w:hAnsi="Calibri" w:cs="Calibri"/>
        </w:rPr>
        <w:t xml:space="preserve">, </w:t>
      </w:r>
      <w:hyperlink w:anchor="Par135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случае набора равного количества баллов несколькими оздоровительными учреждениями победитель определяется открытым голосованием членов Организационного комитета простым большинством голосов.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Итоги оценки заявок оздоровительных учреждений, допущенных к участию в конкурсе, и представленных документов, решение об определении победителя конкурса по каждой номинации оформляются протоколом Организационного комитета.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Итоги конкурса с указанием размеров средств бюджета автономного округа, предоставляемых победителям конкурса, информация об участниках конкурса, результатах рассмотрения поданных заявок, а также иная информация о проведении конкурса размещается Организационным комитетом на информационном портале "Перспективное детство Югры", в средствах массовой информации не позднее пяти рабочих дней со дня оформления Организационным комитетом решения в форме протокола.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48"/>
      <w:bookmarkEnd w:id="12"/>
      <w:r>
        <w:rPr>
          <w:rFonts w:ascii="Calibri" w:hAnsi="Calibri" w:cs="Calibri"/>
        </w:rPr>
        <w:lastRenderedPageBreak/>
        <w:t>5. Предоставление средств бюджета автономного округа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победителям конкурса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Победителям конкурса предоставляются средства бюджета автономного округа согласно государственной </w:t>
      </w:r>
      <w:hyperlink r:id="rId33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Ханты-Мансийского автономного округа - Югры "Социальная поддержка жителей Ханты-Мансийского автономного округа - Югры на 2014 - 2020 годы", утвержденной постановлением Правительства Ханты-Мансийского автономного округа - Югры от 9 октября 2013 года N 421-п.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Средства бюджета автономного округа предоставляются в виде: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субсидии - юридическим лицам (за исключением государственных и муниципальных учреждений);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бюджетных ассигнований в соответствии со сводной бюджетной росписью бюджета автономного округа в пределах лимитов бюджетных обязательств - государственным учреждениям автономного округа;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иных межбюджетных трансфертов местным бюджетам - муниципальным учреждениям.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7"/>
      <w:bookmarkEnd w:id="13"/>
      <w:r>
        <w:rPr>
          <w:rFonts w:ascii="Calibri" w:hAnsi="Calibri" w:cs="Calibri"/>
        </w:rPr>
        <w:t>5.3. Средства бюджета автономного округа предоставляются Департаментом на основании соглашения, заключенного им с победителем конкурса по форме, утвержденной Департаментом, в течение 30 календарных дней с даты официального опубликования итогов конкурса на информационном портале "Перспективное детство Югры".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соглашении предусматриваются: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цель, условия, порядок и сроки предоставления средств бюджета автономного округа;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размер средств бюджета автономного округа;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сроки использования средств бюджета автономного округа;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и сроки предоставления отчетности об использовании средств бюджета автономного округа;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 возврата средств бюджета автономного округа в случае их нецелевого использования или неиспользования в установленные сроки;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согласие победителя конкурса на осуществление Департаментом и Службой контроля автономного округа проверок соблюдения им условий, цели и порядка предоставления средств бюджета автономного округа.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Если в течение срока, указанного в </w:t>
      </w:r>
      <w:hyperlink w:anchor="Par157" w:history="1">
        <w:r>
          <w:rPr>
            <w:rFonts w:ascii="Calibri" w:hAnsi="Calibri" w:cs="Calibri"/>
            <w:color w:val="0000FF"/>
          </w:rPr>
          <w:t>пункте 5.3</w:t>
        </w:r>
      </w:hyperlink>
      <w:r>
        <w:rPr>
          <w:rFonts w:ascii="Calibri" w:hAnsi="Calibri" w:cs="Calibri"/>
        </w:rPr>
        <w:t xml:space="preserve"> настоящего Положения, соглашение не заключено исходя из действий (бездействия) победителя конкурса, то последний утрачивает право на получение средств бюджета автономного округа.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Размер средств бюджета автономного округа, предоставляемых победителям конкурса, устанавливается в соответствии с </w:t>
      </w:r>
      <w:hyperlink w:anchor="Par176" w:history="1">
        <w:r>
          <w:rPr>
            <w:rFonts w:ascii="Calibri" w:hAnsi="Calibri" w:cs="Calibri"/>
            <w:color w:val="0000FF"/>
          </w:rPr>
          <w:t>пунктом 6.1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Средства бюджета автономного округа перечисляются победителю конкурса в течение 10 банковских дней с даты заключения соглашения на его расчетный счет, указанный в соглашении.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Победитель конкурса представляет в Департамент отчет об использовании средств бюджета автономного округа по форме, установленной Департаментом, в сроки, предусмотренные соглашением.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Департамент, Служба контроля автономного округа осуществляют проверку соблюдения победителем конкурса условий, целей и порядка предоставления субсидии.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70"/>
      <w:bookmarkEnd w:id="14"/>
      <w:r>
        <w:rPr>
          <w:rFonts w:ascii="Calibri" w:hAnsi="Calibri" w:cs="Calibri"/>
        </w:rPr>
        <w:t>5.10. В случае нарушения условий предоставления средств бюджета автономного округа, выявления фактов неисполнения или ненадлежащего исполнения победителем конкурса своих обязательств по соглашению, в том числе использования средств бюджета автономного округа не по целевому назначению, Департамент в течение 10 рабочих дней со дня установления таких фактов издает приказ о возврате средств бюджета автономного округа и направляет соответствующее требование победителю конкурса.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71"/>
      <w:bookmarkEnd w:id="15"/>
      <w:r>
        <w:rPr>
          <w:rFonts w:ascii="Calibri" w:hAnsi="Calibri" w:cs="Calibri"/>
        </w:rPr>
        <w:t xml:space="preserve">5.11. Победитель конкурса в течение 5 рабочих дней с даты получения требования, указанного в </w:t>
      </w:r>
      <w:hyperlink w:anchor="Par170" w:history="1">
        <w:r>
          <w:rPr>
            <w:rFonts w:ascii="Calibri" w:hAnsi="Calibri" w:cs="Calibri"/>
            <w:color w:val="0000FF"/>
          </w:rPr>
          <w:t>пункте 5.10</w:t>
        </w:r>
      </w:hyperlink>
      <w:r>
        <w:rPr>
          <w:rFonts w:ascii="Calibri" w:hAnsi="Calibri" w:cs="Calibri"/>
        </w:rPr>
        <w:t xml:space="preserve"> настоящего Положения, обязан перечислить средства бюджета автономного округа на счет, указанный в требовании.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В случае невыполнения победителем конкурса требований, установленных </w:t>
      </w:r>
      <w:hyperlink w:anchor="Par171" w:history="1">
        <w:r>
          <w:rPr>
            <w:rFonts w:ascii="Calibri" w:hAnsi="Calibri" w:cs="Calibri"/>
            <w:color w:val="0000FF"/>
          </w:rPr>
          <w:t xml:space="preserve">пунктом </w:t>
        </w:r>
        <w:r>
          <w:rPr>
            <w:rFonts w:ascii="Calibri" w:hAnsi="Calibri" w:cs="Calibri"/>
            <w:color w:val="0000FF"/>
          </w:rPr>
          <w:lastRenderedPageBreak/>
          <w:t>5.11</w:t>
        </w:r>
      </w:hyperlink>
      <w:r>
        <w:rPr>
          <w:rFonts w:ascii="Calibri" w:hAnsi="Calibri" w:cs="Calibri"/>
        </w:rPr>
        <w:t xml:space="preserve"> настоящего Положения, возврат средств бюджета автономного округа осуществляется в судебном порядке в соответствии с законодательством Российской Федерации.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74"/>
      <w:bookmarkEnd w:id="16"/>
      <w:r>
        <w:rPr>
          <w:rFonts w:ascii="Calibri" w:hAnsi="Calibri" w:cs="Calibri"/>
        </w:rPr>
        <w:t>6. Награждение победителей конкурса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6"/>
      <w:bookmarkEnd w:id="17"/>
      <w:r>
        <w:rPr>
          <w:rFonts w:ascii="Calibri" w:hAnsi="Calibri" w:cs="Calibri"/>
        </w:rPr>
        <w:t>6.1. Победители конкурса награждаются дипломами и получают: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номинации "Лучший загородный оздоровительный лагерь":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место - 200000,0 рублей;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место - 180000,0 рублей;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место - 160000,0 рублей;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номинациях "Лучший палаточный лагерь", "Лучший лагерь с дневным пребыванием детей", "Лучший лагерь с этнокультурным компонентом":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место - 110000,0 рублей;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место - 90000,0 рублей;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место - 60000,0 рублей.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Денежные средства автономного округа, полученные победителями по результатам конкурса, подлежат использованию ими на укрепление их материально-технической базы.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89"/>
      <w:bookmarkEnd w:id="18"/>
      <w:r>
        <w:rPr>
          <w:rFonts w:ascii="Calibri" w:hAnsi="Calibri" w:cs="Calibri"/>
        </w:rPr>
        <w:t>Таблица 1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664" w:rsidRDefault="008C5664">
      <w:pPr>
        <w:pStyle w:val="ConsPlusNonformat"/>
      </w:pPr>
      <w:bookmarkStart w:id="19" w:name="Par191"/>
      <w:bookmarkEnd w:id="19"/>
      <w:r>
        <w:t xml:space="preserve">                                  Заявка</w:t>
      </w:r>
    </w:p>
    <w:p w:rsidR="008C5664" w:rsidRDefault="008C5664">
      <w:pPr>
        <w:pStyle w:val="ConsPlusNonformat"/>
      </w:pPr>
      <w:r>
        <w:t xml:space="preserve">           на участие в конкурсе "Лучший оздоровительный лагерь</w:t>
      </w:r>
    </w:p>
    <w:p w:rsidR="008C5664" w:rsidRDefault="008C5664">
      <w:pPr>
        <w:pStyle w:val="ConsPlusNonformat"/>
      </w:pPr>
      <w:r>
        <w:t xml:space="preserve">               Ханты-Мансийского автономного округа - Югры"</w:t>
      </w:r>
    </w:p>
    <w:p w:rsidR="008C5664" w:rsidRDefault="008C5664">
      <w:pPr>
        <w:pStyle w:val="ConsPlusNonformat"/>
      </w:pPr>
    </w:p>
    <w:p w:rsidR="008C5664" w:rsidRDefault="008C5664">
      <w:pPr>
        <w:pStyle w:val="ConsPlusNonformat"/>
      </w:pPr>
      <w:r>
        <w:t>в номинации _______________________________________________________________</w:t>
      </w:r>
    </w:p>
    <w:p w:rsidR="008C5664" w:rsidRDefault="008C5664">
      <w:pPr>
        <w:pStyle w:val="ConsPlusNonformat"/>
      </w:pPr>
      <w:r>
        <w:t>___________________________________________________________________________</w:t>
      </w:r>
    </w:p>
    <w:p w:rsidR="008C5664" w:rsidRDefault="008C5664">
      <w:pPr>
        <w:pStyle w:val="ConsPlusNonformat"/>
      </w:pPr>
      <w:r>
        <w:t xml:space="preserve">        (наименование муниципального образования Ханты-Мансийского</w:t>
      </w:r>
    </w:p>
    <w:p w:rsidR="008C5664" w:rsidRDefault="008C5664">
      <w:pPr>
        <w:pStyle w:val="ConsPlusNonformat"/>
      </w:pPr>
      <w:r>
        <w:t xml:space="preserve">                        автономного округа - Югры)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36"/>
        <w:gridCol w:w="4636"/>
      </w:tblGrid>
      <w:tr w:rsidR="008C5664">
        <w:trPr>
          <w:trHeight w:val="400"/>
          <w:tblCellSpacing w:w="5" w:type="nil"/>
        </w:trPr>
        <w:tc>
          <w:tcPr>
            <w:tcW w:w="4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Полное наименование оздоровительного</w:t>
            </w:r>
          </w:p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</w:t>
            </w:r>
          </w:p>
        </w:tc>
        <w:tc>
          <w:tcPr>
            <w:tcW w:w="4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664">
        <w:trPr>
          <w:tblCellSpacing w:w="5" w:type="nil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адрес, тел., e-mail        </w:t>
            </w:r>
          </w:p>
        </w:tc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664">
        <w:trPr>
          <w:trHeight w:val="400"/>
          <w:tblCellSpacing w:w="5" w:type="nil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руководителя оздоровительного</w:t>
            </w:r>
          </w:p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</w:t>
            </w:r>
          </w:p>
        </w:tc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664">
        <w:trPr>
          <w:trHeight w:val="400"/>
          <w:tblCellSpacing w:w="5" w:type="nil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прилагаемых документов:    </w:t>
            </w:r>
          </w:p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указать их наименование и количество</w:t>
            </w:r>
          </w:p>
        </w:tc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64" w:rsidRDefault="008C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664" w:rsidRDefault="008C5664">
      <w:pPr>
        <w:pStyle w:val="ConsPlusNonformat"/>
      </w:pPr>
      <w:r>
        <w:t>Уполномоченное лицо муниципального</w:t>
      </w:r>
    </w:p>
    <w:p w:rsidR="008C5664" w:rsidRDefault="008C5664">
      <w:pPr>
        <w:pStyle w:val="ConsPlusNonformat"/>
      </w:pPr>
      <w:r>
        <w:t>образования Ханты-Мансийского</w:t>
      </w:r>
    </w:p>
    <w:p w:rsidR="008C5664" w:rsidRDefault="008C5664">
      <w:pPr>
        <w:pStyle w:val="ConsPlusNonformat"/>
      </w:pPr>
      <w:r>
        <w:t>автономного округа - Югры   _____________       ___________________________</w:t>
      </w:r>
    </w:p>
    <w:p w:rsidR="008C5664" w:rsidRDefault="008C5664">
      <w:pPr>
        <w:pStyle w:val="ConsPlusNonformat"/>
      </w:pPr>
      <w:r>
        <w:t xml:space="preserve">                              (подпись)            (расшифровка подписи)</w:t>
      </w:r>
    </w:p>
    <w:p w:rsidR="008C5664" w:rsidRDefault="008C5664">
      <w:pPr>
        <w:pStyle w:val="ConsPlusNonformat"/>
      </w:pPr>
    </w:p>
    <w:p w:rsidR="008C5664" w:rsidRDefault="008C5664">
      <w:pPr>
        <w:pStyle w:val="ConsPlusNonformat"/>
      </w:pPr>
      <w:r>
        <w:t>Руководитель</w:t>
      </w:r>
    </w:p>
    <w:p w:rsidR="008C5664" w:rsidRDefault="008C5664">
      <w:pPr>
        <w:pStyle w:val="ConsPlusNonformat"/>
      </w:pPr>
      <w:r>
        <w:t>оздоровительного</w:t>
      </w:r>
    </w:p>
    <w:p w:rsidR="008C5664" w:rsidRDefault="008C5664">
      <w:pPr>
        <w:pStyle w:val="ConsPlusNonformat"/>
      </w:pPr>
      <w:r>
        <w:t>учреждения               ________________       ___________________________</w:t>
      </w:r>
    </w:p>
    <w:p w:rsidR="008C5664" w:rsidRDefault="008C5664">
      <w:pPr>
        <w:pStyle w:val="ConsPlusNonformat"/>
      </w:pPr>
      <w:r>
        <w:t xml:space="preserve">                            (подпись)              (расшифровка подписи)</w:t>
      </w: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664" w:rsidRDefault="008C56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664" w:rsidRDefault="008C56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2217A" w:rsidRDefault="0022217A"/>
    <w:sectPr w:rsidR="0022217A" w:rsidSect="00E3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8C5664"/>
    <w:rsid w:val="0022217A"/>
    <w:rsid w:val="008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5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427BD760D4FB2B5EE6BDD6CF3B8373D2EB1579FA5D2642E8C6B23F5D9F5306E90E1A9B43CA6194B7C47FCZ1UEG" TargetMode="External"/><Relationship Id="rId13" Type="http://schemas.openxmlformats.org/officeDocument/2006/relationships/hyperlink" Target="consultantplus://offline/ref=0B6427BD760D4FB2B5EE6BDD6CF3B8373D2EB1579FA5D2642E8C6B23F5D9F5306E90E1A9B43CA6194B7C47FDZ1UBG" TargetMode="External"/><Relationship Id="rId18" Type="http://schemas.openxmlformats.org/officeDocument/2006/relationships/hyperlink" Target="consultantplus://offline/ref=0B6427BD760D4FB2B5EE6BDD6CF3B8373D2EB1579FA5D2642E8C6B23F5D9F5306E90E1A9B43CA6194B7C47FEZ1U8G" TargetMode="External"/><Relationship Id="rId26" Type="http://schemas.openxmlformats.org/officeDocument/2006/relationships/hyperlink" Target="consultantplus://offline/ref=6DC8740410FD791297C1D0BAEE12672A436EAF12E05124723A0D7847A9F8DC8499770695F03276FAA12F4395aFU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6427BD760D4FB2B5EE6BDD6CF3B8373D2EB1579FA5D2642E8C6B23F5D9F5306E90E1A9B43CA6194B7C47FEZ1UCG" TargetMode="External"/><Relationship Id="rId34" Type="http://schemas.openxmlformats.org/officeDocument/2006/relationships/hyperlink" Target="consultantplus://offline/ref=6DC8740410FD791297C1D0BAEE12672A436EAF12E05124723A0D7847A9F8DC8499770695F03276FAA12F4392aFUAG" TargetMode="External"/><Relationship Id="rId7" Type="http://schemas.openxmlformats.org/officeDocument/2006/relationships/hyperlink" Target="consultantplus://offline/ref=0B6427BD760D4FB2B5EE6BDD6CF3B8373D2EB1579FA5D2642E8C6B23F5D9F5306E90E1A9B43CA6194B7C47FCZ1UFG" TargetMode="External"/><Relationship Id="rId12" Type="http://schemas.openxmlformats.org/officeDocument/2006/relationships/hyperlink" Target="consultantplus://offline/ref=0B6427BD760D4FB2B5EE6BDD6CF3B8373D2EB1579FA5D2642E8C6B23F5D9F5306E90E1A9B43CA6194B7C47FDZ1UBG" TargetMode="External"/><Relationship Id="rId17" Type="http://schemas.openxmlformats.org/officeDocument/2006/relationships/hyperlink" Target="consultantplus://offline/ref=0B6427BD760D4FB2B5EE6BDD6CF3B8373D2EB1579FA5D2642E8C6B23F5D9F5306E90E1A9B43CA6194B7C47FDZ1U1G" TargetMode="External"/><Relationship Id="rId25" Type="http://schemas.openxmlformats.org/officeDocument/2006/relationships/hyperlink" Target="consultantplus://offline/ref=0B6427BD760D4FB2B5EE6BDD6CF3B8373D2EB1579FA5D2642E8C6B23F5D9F5306E90E1A9B43CA6194B7C47FFZ1U8G" TargetMode="External"/><Relationship Id="rId33" Type="http://schemas.openxmlformats.org/officeDocument/2006/relationships/hyperlink" Target="consultantplus://offline/ref=6DC8740410FD791297C1D0BAEE12672A436EAF12E05126773C0E7847A9F8DC8499770695F03276FAA12F4397aFU2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6427BD760D4FB2B5EE6BDD6CF3B8373D2EB1579FA5D2642E8C6B23F5D9F5306E90E1A9B43CA6194B7C47FDZ1UEG" TargetMode="External"/><Relationship Id="rId20" Type="http://schemas.openxmlformats.org/officeDocument/2006/relationships/hyperlink" Target="consultantplus://offline/ref=0B6427BD760D4FB2B5EE6BDD6CF3B8373D2EB1579FA5D2642E8C6B23F5D9F5306E90E1A9B43CA6194B7C47FEZ1UDG" TargetMode="External"/><Relationship Id="rId29" Type="http://schemas.openxmlformats.org/officeDocument/2006/relationships/hyperlink" Target="consultantplus://offline/ref=6DC8740410FD791297C1D0BAEE12672A436EAF12E05124723A0D7847A9F8DC8499770695F03276FAA12F4395aFU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6427BD760D4FB2B5EE6BDD6CF3B8373D2EB1579FA5D061288F6B23F5D9F5306E90E1A9B43CA6194B7843FDZ1UFG" TargetMode="External"/><Relationship Id="rId11" Type="http://schemas.openxmlformats.org/officeDocument/2006/relationships/hyperlink" Target="consultantplus://offline/ref=0B6427BD760D4FB2B5EE6BDD6CF3B8373D2EB15799A3D76628833629FD80F932Z6U9G" TargetMode="External"/><Relationship Id="rId24" Type="http://schemas.openxmlformats.org/officeDocument/2006/relationships/hyperlink" Target="consultantplus://offline/ref=0B6427BD760D4FB2B5EE6BDD6CF3B8373D2EB1579FA5D2642E8C6B23F5D9F5306E90E1A9B43CA6194B7C47FEZ1U0G" TargetMode="External"/><Relationship Id="rId32" Type="http://schemas.openxmlformats.org/officeDocument/2006/relationships/hyperlink" Target="consultantplus://offline/ref=6DC8740410FD791297C1D0BAEE12672A436EAF12E05124723A0D7847A9F8DC8499770695F03276FAA12F4392aFU0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B6427BD760D4FB2B5EE6BDD6CF3B8373D2EB1579FA5D2642E8C6B23F5D9F5306E90E1A9B43CA6194B7C47FCZ1UCG" TargetMode="External"/><Relationship Id="rId15" Type="http://schemas.openxmlformats.org/officeDocument/2006/relationships/hyperlink" Target="consultantplus://offline/ref=0B6427BD760D4FB2B5EE6BDD6CF3B8373D2EB1579FA5D2642E8C6B23F5D9F5306E90E1A9B43CA6194B7C47FDZ1UFG" TargetMode="External"/><Relationship Id="rId23" Type="http://schemas.openxmlformats.org/officeDocument/2006/relationships/hyperlink" Target="consultantplus://offline/ref=0B6427BD760D4FB2B5EE6BDD6CF3B8373D2EB1579FA5D2642E8C6B23F5D9F5306E90E1A9B43CA6194B7C47FEZ1U1G" TargetMode="External"/><Relationship Id="rId28" Type="http://schemas.openxmlformats.org/officeDocument/2006/relationships/hyperlink" Target="consultantplus://offline/ref=6DC8740410FD791297C1D0BAEE12672A436EAF12E05124723A0D7847A9F8DC8499770695F03276FAA12F4395aFU5G" TargetMode="External"/><Relationship Id="rId36" Type="http://schemas.openxmlformats.org/officeDocument/2006/relationships/hyperlink" Target="consultantplus://offline/ref=6DC8740410FD791297C1D0BAEE12672A436EAF12E05124723A0D7847A9F8DC8499770695F03276FAA12F4393aFU1G" TargetMode="External"/><Relationship Id="rId10" Type="http://schemas.openxmlformats.org/officeDocument/2006/relationships/hyperlink" Target="consultantplus://offline/ref=0B6427BD760D4FB2B5EE6BDD6CF3B8373D2EB1579FA5D2642E8C6B23F5D9F5306E90E1A9B43CA6194B7C47FDZ1U8G" TargetMode="External"/><Relationship Id="rId19" Type="http://schemas.openxmlformats.org/officeDocument/2006/relationships/hyperlink" Target="consultantplus://offline/ref=0B6427BD760D4FB2B5EE6BDD6CF3B8373D2EB1579FA5D2642E8C6B23F5D9F5306E90E1A9B43CA6194B7C47FEZ1UAG" TargetMode="External"/><Relationship Id="rId31" Type="http://schemas.openxmlformats.org/officeDocument/2006/relationships/hyperlink" Target="consultantplus://offline/ref=6DC8740410FD791297C1D0BAEE12672A436EAF12E05124723A0D7847A9F8DC8499770695F03276FAA12F4392aFU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6427BD760D4FB2B5EE6BDD6CF3B8373D2EB1579FA5D2642E8C6B23F5D9F5306E90E1A9B43CA6194B7C47FCZ1U1G" TargetMode="External"/><Relationship Id="rId14" Type="http://schemas.openxmlformats.org/officeDocument/2006/relationships/hyperlink" Target="consultantplus://offline/ref=0B6427BD760D4FB2B5EE6BDD6CF3B8373D2EB1579FA5D2642E8C6B23F5D9F5306E90E1A9B43CA6194B7C47FDZ1UAG" TargetMode="External"/><Relationship Id="rId22" Type="http://schemas.openxmlformats.org/officeDocument/2006/relationships/hyperlink" Target="consultantplus://offline/ref=0B6427BD760D4FB2B5EE6BDD6CF3B8373D2EB1579FA5D2642E8C6B23F5D9F5306E90E1A9B43CA6194B7C47FEZ1UFG" TargetMode="External"/><Relationship Id="rId27" Type="http://schemas.openxmlformats.org/officeDocument/2006/relationships/hyperlink" Target="consultantplus://offline/ref=6DC8740410FD791297C1D0BAEE12672A436EAF12E05124723A0D7847A9F8DC8499770695F03276FAA12F4395aFU6G" TargetMode="External"/><Relationship Id="rId30" Type="http://schemas.openxmlformats.org/officeDocument/2006/relationships/hyperlink" Target="consultantplus://offline/ref=6DC8740410FD791297C1D0BAEE12672A436EAF12E05124723A0D7847A9F8DC8499770695F03276FAA12F4392aFU3G" TargetMode="External"/><Relationship Id="rId35" Type="http://schemas.openxmlformats.org/officeDocument/2006/relationships/hyperlink" Target="consultantplus://offline/ref=6DC8740410FD791297C1D0BAEE12672A436EAF12E05124723A0D7847A9F8DC8499770695F03276FAA12F4393aF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3968</Words>
  <Characters>22622</Characters>
  <Application>Microsoft Office Word</Application>
  <DocSecurity>0</DocSecurity>
  <Lines>188</Lines>
  <Paragraphs>53</Paragraphs>
  <ScaleCrop>false</ScaleCrop>
  <Company>Microsoft</Company>
  <LinksUpToDate>false</LinksUpToDate>
  <CharactersWithSpaces>26537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zelinskayala</dc:creator>
  <cp:keywords/>
  <dc:description/>
  <cp:lastModifiedBy>zelinskayala</cp:lastModifiedBy>
  <cp:revision>1</cp:revision>
  <dcterms:created xsi:type="dcterms:W3CDTF">2014-10-28T06:20:00Z</dcterms:created>
  <dcterms:modified xsi:type="dcterms:W3CDTF">2014-10-28T06:20:00Z</dcterms:modified>
</cp:coreProperties>
</file>