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F41" w:rsidRPr="00770F41" w:rsidRDefault="00770F41" w:rsidP="00A0074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70F41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AA77A4" w:rsidRPr="00AA77A4" w:rsidRDefault="00770F41" w:rsidP="00B95B8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70F41">
        <w:rPr>
          <w:rFonts w:ascii="Times New Roman" w:hAnsi="Times New Roman" w:cs="Times New Roman"/>
          <w:sz w:val="26"/>
          <w:szCs w:val="26"/>
        </w:rPr>
        <w:t xml:space="preserve">к проекту </w:t>
      </w:r>
      <w:r w:rsidR="00B95B8D">
        <w:rPr>
          <w:rFonts w:ascii="Times New Roman" w:hAnsi="Times New Roman" w:cs="Times New Roman"/>
          <w:sz w:val="26"/>
          <w:szCs w:val="26"/>
        </w:rPr>
        <w:t>Решения Думы</w:t>
      </w:r>
      <w:r w:rsidR="00AA77A4">
        <w:rPr>
          <w:rFonts w:ascii="Times New Roman" w:hAnsi="Times New Roman" w:cs="Times New Roman"/>
          <w:sz w:val="26"/>
          <w:szCs w:val="26"/>
        </w:rPr>
        <w:t xml:space="preserve"> </w:t>
      </w:r>
      <w:r w:rsidRPr="00770F41">
        <w:rPr>
          <w:rFonts w:ascii="Times New Roman" w:hAnsi="Times New Roman" w:cs="Times New Roman"/>
          <w:sz w:val="26"/>
          <w:szCs w:val="26"/>
        </w:rPr>
        <w:t>Нефтеюганского района</w:t>
      </w:r>
      <w:r w:rsidR="00B95B8D">
        <w:rPr>
          <w:rFonts w:ascii="Times New Roman" w:hAnsi="Times New Roman" w:cs="Times New Roman"/>
          <w:sz w:val="26"/>
          <w:szCs w:val="26"/>
        </w:rPr>
        <w:t xml:space="preserve"> «О внесении изменений в Решение Думы Нефтеюганского района от </w:t>
      </w:r>
      <w:r w:rsidR="00B44124" w:rsidRPr="00B44124">
        <w:rPr>
          <w:rFonts w:ascii="Times New Roman" w:hAnsi="Times New Roman" w:cs="Times New Roman"/>
          <w:sz w:val="26"/>
          <w:szCs w:val="26"/>
        </w:rPr>
        <w:t>28.12.2020 № 563 «О реализации инициативных проектов в Нефтеюганском районе»</w:t>
      </w:r>
      <w:r w:rsidR="00B95B8D" w:rsidRPr="00B95B8D">
        <w:rPr>
          <w:rFonts w:ascii="Times New Roman" w:hAnsi="Times New Roman" w:cs="Times New Roman"/>
          <w:sz w:val="26"/>
          <w:szCs w:val="26"/>
        </w:rPr>
        <w:t>»</w:t>
      </w:r>
    </w:p>
    <w:p w:rsidR="00AA77A4" w:rsidRPr="00770F41" w:rsidRDefault="00AA77A4" w:rsidP="00A00742">
      <w:pPr>
        <w:tabs>
          <w:tab w:val="left" w:pos="0"/>
          <w:tab w:val="left" w:pos="9355"/>
        </w:tabs>
        <w:spacing w:after="0" w:line="240" w:lineRule="auto"/>
        <w:ind w:right="-143"/>
        <w:jc w:val="center"/>
        <w:rPr>
          <w:rFonts w:ascii="Times New Roman" w:hAnsi="Times New Roman" w:cs="Times New Roman"/>
          <w:sz w:val="26"/>
          <w:szCs w:val="26"/>
        </w:rPr>
      </w:pPr>
    </w:p>
    <w:p w:rsidR="00B95B8D" w:rsidRPr="00B95B8D" w:rsidRDefault="00ED3BA3" w:rsidP="00ED3BA3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770F41" w:rsidRPr="00AA77A4">
        <w:rPr>
          <w:rFonts w:ascii="Times New Roman" w:hAnsi="Times New Roman" w:cs="Times New Roman"/>
          <w:sz w:val="26"/>
          <w:szCs w:val="26"/>
        </w:rPr>
        <w:t xml:space="preserve">Проект </w:t>
      </w:r>
      <w:r w:rsidR="00B95B8D">
        <w:rPr>
          <w:rFonts w:ascii="Times New Roman" w:hAnsi="Times New Roman" w:cs="Times New Roman"/>
          <w:sz w:val="26"/>
          <w:szCs w:val="26"/>
        </w:rPr>
        <w:t>Решения Думы</w:t>
      </w:r>
      <w:r w:rsidR="00770F41" w:rsidRPr="00AA77A4">
        <w:rPr>
          <w:rFonts w:ascii="Times New Roman" w:hAnsi="Times New Roman" w:cs="Times New Roman"/>
          <w:sz w:val="26"/>
          <w:szCs w:val="26"/>
        </w:rPr>
        <w:t xml:space="preserve"> Нефтеюганского района подготовлен </w:t>
      </w:r>
      <w:r w:rsidR="00AA77A4">
        <w:rPr>
          <w:rFonts w:ascii="Times New Roman" w:hAnsi="Times New Roman" w:cs="Times New Roman"/>
          <w:sz w:val="26"/>
          <w:szCs w:val="26"/>
        </w:rPr>
        <w:t>в целях актуализации</w:t>
      </w:r>
      <w:r w:rsidR="0060470D">
        <w:rPr>
          <w:rFonts w:ascii="Times New Roman" w:hAnsi="Times New Roman" w:cs="Times New Roman"/>
          <w:sz w:val="26"/>
          <w:szCs w:val="26"/>
        </w:rPr>
        <w:t xml:space="preserve"> </w:t>
      </w:r>
      <w:r w:rsidR="00874557">
        <w:rPr>
          <w:rFonts w:ascii="Times New Roman" w:hAnsi="Times New Roman" w:cs="Times New Roman"/>
          <w:sz w:val="26"/>
          <w:szCs w:val="26"/>
        </w:rPr>
        <w:t>и приведения в соответствие с Федеральным законом от 06.10.2003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74557">
        <w:rPr>
          <w:rFonts w:ascii="Times New Roman" w:hAnsi="Times New Roman" w:cs="Times New Roman"/>
          <w:sz w:val="26"/>
          <w:szCs w:val="26"/>
        </w:rPr>
        <w:t xml:space="preserve">№ 131-ФЗ </w:t>
      </w:r>
      <w:r w:rsidR="00E005A5">
        <w:rPr>
          <w:rFonts w:ascii="Times New Roman" w:hAnsi="Times New Roman" w:cs="Times New Roman"/>
          <w:sz w:val="26"/>
          <w:szCs w:val="26"/>
        </w:rPr>
        <w:t>«Об общих принципах организации местного самоуправления в Российской Федерации».</w:t>
      </w:r>
    </w:p>
    <w:p w:rsidR="00B95B8D" w:rsidRDefault="00B95B8D" w:rsidP="00B95B8D">
      <w:pPr>
        <w:suppressAutoHyphens/>
        <w:autoSpaceDE w:val="0"/>
        <w:autoSpaceDN w:val="0"/>
        <w:adjustRightInd w:val="0"/>
        <w:spacing w:line="280" w:lineRule="exact"/>
        <w:jc w:val="center"/>
        <w:rPr>
          <w:b/>
          <w:sz w:val="26"/>
          <w:szCs w:val="26"/>
        </w:rPr>
      </w:pPr>
    </w:p>
    <w:tbl>
      <w:tblPr>
        <w:tblW w:w="993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67"/>
        <w:gridCol w:w="5164"/>
      </w:tblGrid>
      <w:tr w:rsidR="00E4632F" w:rsidRPr="00F7016A" w:rsidTr="00E4632F">
        <w:trPr>
          <w:trHeight w:val="695"/>
        </w:trPr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2F" w:rsidRPr="00F7016A" w:rsidRDefault="00E4632F" w:rsidP="00A35B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01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Действующая редакция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2F" w:rsidRPr="00F7016A" w:rsidRDefault="00E4632F" w:rsidP="00A35B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463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Предлагаемая редакция</w:t>
            </w:r>
          </w:p>
        </w:tc>
      </w:tr>
      <w:tr w:rsidR="00E4632F" w:rsidRPr="00143F2D" w:rsidTr="00E4632F">
        <w:trPr>
          <w:trHeight w:val="2209"/>
        </w:trPr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2F" w:rsidRPr="00143F2D" w:rsidRDefault="00E4632F" w:rsidP="00A35BF1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2F" w:rsidRPr="00143F2D" w:rsidRDefault="00E4632F" w:rsidP="00A35B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13E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  <w:r w:rsidRPr="00C3113E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Термины и понятия, используемые в настоящем Порядке, по своему значению соответствуют терминам и понятиям, используемым в Федеральном законе от 06.10.2003 № 131-ФЗ «Об общих принципах организации местного самоуправления в Российской Федерации».</w:t>
            </w:r>
          </w:p>
        </w:tc>
      </w:tr>
      <w:tr w:rsidR="00E4632F" w:rsidRPr="00C3113E" w:rsidTr="00E4632F">
        <w:trPr>
          <w:trHeight w:val="2672"/>
        </w:trPr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2F" w:rsidRPr="00143F2D" w:rsidRDefault="00E4632F" w:rsidP="00A35BF1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57D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  <w:r w:rsidRPr="00F1157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Реализация инициативных проектов в Нефтеюганском районе направлена на определение и реализацию социально значимых проектов на территориях муниципальных образований Нефтеюганского района с привлечением граждан и организаций к деятельности органов местного самоуправления в решении проблем местного значения.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2F" w:rsidRPr="00C3113E" w:rsidRDefault="00E4632F" w:rsidP="00A35B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57D">
              <w:rPr>
                <w:rFonts w:ascii="Times New Roman" w:eastAsia="Times New Roman" w:hAnsi="Times New Roman" w:cs="Times New Roman"/>
                <w:sz w:val="24"/>
                <w:szCs w:val="24"/>
              </w:rPr>
              <w:t>1.3. Реализация инициативных проектов направлена на определение и реализацию социально значимых проектов на территориях муниципальных образований Нефтеюганского района с привлечением граждан и организаций к деятельности органов местного самоуправления в решении проблем местного значения.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(изменение нумерации)</w:t>
            </w:r>
          </w:p>
        </w:tc>
      </w:tr>
      <w:tr w:rsidR="00E4632F" w:rsidRPr="00C3113E" w:rsidTr="00E4632F">
        <w:trPr>
          <w:trHeight w:val="1298"/>
        </w:trPr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2F" w:rsidRPr="00143F2D" w:rsidRDefault="00E4632F" w:rsidP="00A35BF1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1.6. Управление по вопросам местного самоуправления и обращениям граждан администрации Нефтеюганского района (далее – Управление):  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2F" w:rsidRPr="00C3113E" w:rsidRDefault="007D6315" w:rsidP="00A35B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6315">
              <w:rPr>
                <w:rFonts w:ascii="Times New Roman" w:eastAsia="Times New Roman" w:hAnsi="Times New Roman" w:cs="Times New Roman"/>
                <w:sz w:val="24"/>
                <w:szCs w:val="24"/>
              </w:rPr>
              <w:t>1.6. Отдел по делам молодежи администрации Нефтеюганского района оказывает информационно-консультационную помощь инициаторам проекта до внесения инициативного проекта в администрацию.</w:t>
            </w:r>
          </w:p>
        </w:tc>
      </w:tr>
      <w:tr w:rsidR="00E4632F" w:rsidRPr="00C3113E" w:rsidTr="00E4632F">
        <w:trPr>
          <w:trHeight w:val="3158"/>
        </w:trPr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2F" w:rsidRPr="00F1157D" w:rsidRDefault="00E4632F" w:rsidP="00A35BF1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57D">
              <w:rPr>
                <w:rFonts w:ascii="Times New Roman" w:eastAsia="Times New Roman" w:hAnsi="Times New Roman" w:cs="Times New Roman"/>
                <w:sz w:val="24"/>
                <w:szCs w:val="24"/>
              </w:rPr>
              <w:t>1.7. Департамент финансов Нефтеюганского района:</w:t>
            </w:r>
          </w:p>
          <w:p w:rsidR="00E4632F" w:rsidRPr="00F1157D" w:rsidRDefault="00E4632F" w:rsidP="00A35BF1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57D">
              <w:rPr>
                <w:rFonts w:ascii="Times New Roman" w:eastAsia="Times New Roman" w:hAnsi="Times New Roman" w:cs="Times New Roman"/>
                <w:sz w:val="24"/>
                <w:szCs w:val="24"/>
              </w:rPr>
              <w:t>- обеспечивает финансирование инициативного проекта из бюджета Нефтеюганского района;</w:t>
            </w:r>
          </w:p>
          <w:p w:rsidR="00E4632F" w:rsidRPr="00143F2D" w:rsidRDefault="00E4632F" w:rsidP="00A35BF1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57D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осуществляет прием отчетов о завершении инициативных проектов.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2F" w:rsidRPr="00C3113E" w:rsidRDefault="007D6315" w:rsidP="00A35B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63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1.7. Комитет по экономической политике и предпринимательству администрации Нефтеюганского района (далее – Комитет):  </w:t>
            </w:r>
          </w:p>
        </w:tc>
      </w:tr>
      <w:tr w:rsidR="007D6315" w:rsidRPr="00C3113E" w:rsidTr="00F33F0E">
        <w:trPr>
          <w:trHeight w:val="1550"/>
        </w:trPr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315" w:rsidRPr="00F1157D" w:rsidRDefault="007D6315" w:rsidP="00A35BF1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315" w:rsidRPr="007D6315" w:rsidRDefault="007D6315" w:rsidP="007D631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6315">
              <w:rPr>
                <w:rFonts w:ascii="Times New Roman" w:eastAsia="Times New Roman" w:hAnsi="Times New Roman" w:cs="Times New Roman"/>
                <w:sz w:val="24"/>
                <w:szCs w:val="24"/>
              </w:rPr>
              <w:t>1.8. Департамент финансов Нефтеюганского района</w:t>
            </w:r>
            <w:r w:rsidR="00F3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631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обеспечивает финансирование инициативного проекта из бюджета Нефтеюганского района.</w:t>
            </w:r>
          </w:p>
        </w:tc>
      </w:tr>
      <w:tr w:rsidR="00E4632F" w:rsidRPr="00C3113E" w:rsidTr="00E4632F">
        <w:trPr>
          <w:trHeight w:val="748"/>
        </w:trPr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2F" w:rsidRPr="00143F2D" w:rsidRDefault="00E4632F" w:rsidP="00A35BF1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C97">
              <w:rPr>
                <w:rFonts w:ascii="Times New Roman" w:eastAsia="Times New Roman" w:hAnsi="Times New Roman" w:cs="Times New Roman"/>
                <w:sz w:val="24"/>
                <w:szCs w:val="24"/>
              </w:rPr>
              <w:t>1.12.</w:t>
            </w:r>
            <w:r w:rsidRPr="004F2C9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Стоимость инициативного проекта не ограничена.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2F" w:rsidRPr="00C3113E" w:rsidRDefault="00E4632F" w:rsidP="00A35B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1.12</w:t>
            </w:r>
            <w:r w:rsidRPr="00794F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признать утратившим силу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4632F" w:rsidRPr="004F2C97" w:rsidTr="00E4632F">
        <w:trPr>
          <w:trHeight w:val="624"/>
        </w:trPr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2F" w:rsidRPr="004F2C97" w:rsidRDefault="00E4632F" w:rsidP="00A35BF1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2F" w:rsidRPr="004F2C97" w:rsidRDefault="00E4632F" w:rsidP="00A35B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C97">
              <w:rPr>
                <w:rFonts w:ascii="Times New Roman" w:eastAsia="Times New Roman" w:hAnsi="Times New Roman" w:cs="Times New Roman"/>
                <w:sz w:val="24"/>
                <w:szCs w:val="24"/>
              </w:rPr>
              <w:t>1.12.</w:t>
            </w:r>
            <w:r w:rsidRPr="004F2C9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Уровень </w:t>
            </w:r>
            <w:proofErr w:type="spellStart"/>
            <w:r w:rsidRPr="004F2C97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4F2C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расходных обязательств на реализацию одного инициативного проекта и размер предоставляемых иных межбюджетных трансфертов из бюджета Нефтеюганского района на реализацию инициативного проекта определяется отдельно по каждому инициативному проекту. Сумма бюджетных ассигнований из бюджета Нефтеюганского района для </w:t>
            </w:r>
            <w:proofErr w:type="spellStart"/>
            <w:r w:rsidRPr="004F2C97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софинанасирования</w:t>
            </w:r>
            <w:proofErr w:type="spellEnd"/>
            <w:r w:rsidRPr="004F2C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одного инициативного проекта не должна превышать 1,5 млн. рублей.</w:t>
            </w:r>
          </w:p>
        </w:tc>
      </w:tr>
      <w:tr w:rsidR="00E4632F" w:rsidRPr="00C3113E" w:rsidTr="00E4632F">
        <w:trPr>
          <w:trHeight w:val="3495"/>
        </w:trPr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2F" w:rsidRPr="00143F2D" w:rsidRDefault="00E4632F" w:rsidP="00A35BF1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C97">
              <w:rPr>
                <w:rFonts w:ascii="Times New Roman" w:eastAsia="Times New Roman" w:hAnsi="Times New Roman" w:cs="Times New Roman"/>
                <w:sz w:val="24"/>
                <w:szCs w:val="24"/>
              </w:rPr>
              <w:t>1.13.</w:t>
            </w:r>
            <w:r w:rsidRPr="004F2C9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Уровень </w:t>
            </w:r>
            <w:proofErr w:type="spellStart"/>
            <w:r w:rsidRPr="004F2C97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4F2C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расходных обязательств на реализацию одного инициативного проекта и размер предоставляемых иных межбюджетных трансфертов из бюджета Нефтеюганского района на реализацию инициативного проекта определяется отдельно по каждому инициативному проекту. Сумма бюджетных ассигнований из бюджета Нефтеюганского района для </w:t>
            </w:r>
            <w:proofErr w:type="spellStart"/>
            <w:r w:rsidRPr="004F2C97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софинанасирования</w:t>
            </w:r>
            <w:proofErr w:type="spellEnd"/>
            <w:r w:rsidRPr="004F2C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одного инициативного проекта не должна превышать 1,5 млн. рублей.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2F" w:rsidRPr="00C3113E" w:rsidRDefault="00E4632F" w:rsidP="00A35B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C97">
              <w:rPr>
                <w:rFonts w:ascii="Times New Roman" w:eastAsia="Times New Roman" w:hAnsi="Times New Roman" w:cs="Times New Roman"/>
                <w:sz w:val="24"/>
                <w:szCs w:val="24"/>
              </w:rPr>
              <w:t>1.13.</w:t>
            </w:r>
            <w:r w:rsidRPr="004F2C9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При подготовке инициативного проекта необходимо за счет общей стоимости инициативного проекта предусмотреть изготовление и размещение на объекте (или рядом с объектом) логотипа (бренда) Нефтеюганского района, используя таблички, вспомогательные указатели, баннеры, трафареты, символы, знаки и </w:t>
            </w:r>
            <w:proofErr w:type="gramStart"/>
            <w:r w:rsidRPr="004F2C97">
              <w:rPr>
                <w:rFonts w:ascii="Times New Roman" w:eastAsia="Times New Roman" w:hAnsi="Times New Roman" w:cs="Times New Roman"/>
                <w:sz w:val="24"/>
                <w:szCs w:val="24"/>
              </w:rPr>
              <w:t>т.п..</w:t>
            </w:r>
            <w:proofErr w:type="gramEnd"/>
            <w:r w:rsidRPr="004F2C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Размещение логотипа (бренда) возможно на всех реализованных инициативных проектах.</w:t>
            </w:r>
          </w:p>
        </w:tc>
      </w:tr>
      <w:tr w:rsidR="00E4632F" w:rsidRPr="00C3113E" w:rsidTr="00E4632F">
        <w:trPr>
          <w:trHeight w:val="7678"/>
        </w:trPr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2F" w:rsidRPr="00F577D7" w:rsidRDefault="00E4632F" w:rsidP="00A35BF1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F577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1.15.</w:t>
            </w:r>
            <w:r w:rsidRPr="00F577D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В случае, если инициативный проект не был реализован, инициативные платежи подлежат возврату лицам (в том числе организациям), осуществившим их перечисление в местный бюджет Нефтеюганского района. </w:t>
            </w:r>
          </w:p>
          <w:p w:rsidR="00E4632F" w:rsidRPr="00F577D7" w:rsidRDefault="00E4632F" w:rsidP="00A35BF1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образования по итогам реализации инициативного проекта остатка инициативных платежей, не использованных в целях реализации инициативного проекта, указанные платежи подлежат возврату лицам (в том числе организациям), осуществившим их перечисление в бюджет Нефтеюганского района. </w:t>
            </w:r>
          </w:p>
          <w:p w:rsidR="00E4632F" w:rsidRPr="00F577D7" w:rsidRDefault="00E4632F" w:rsidP="00A35BF1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7D7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расчета и возврата сумм инициативных платежей, подлежащих возврату лицам (в том числе организациям), изложен в Приложении № 2 к настоящему решению.</w:t>
            </w:r>
          </w:p>
          <w:p w:rsidR="00E4632F" w:rsidRPr="00143F2D" w:rsidRDefault="00E4632F" w:rsidP="00A35BF1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7D7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Финансовые обязательства по исполнению муниципальных контрактов, заключенных в текущем финансовом году, возникающие после 25 декабря текущего финансового года, подлежат оплате за счет остатков бюджетных ассигнований, предусмотренных в очередном финансовом году.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2F" w:rsidRPr="00F577D7" w:rsidRDefault="00E4632F" w:rsidP="00A35B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7D7">
              <w:rPr>
                <w:rFonts w:ascii="Times New Roman" w:eastAsia="Times New Roman" w:hAnsi="Times New Roman" w:cs="Times New Roman"/>
                <w:sz w:val="24"/>
                <w:szCs w:val="24"/>
              </w:rPr>
              <w:t>1.14.</w:t>
            </w:r>
            <w:r w:rsidRPr="00F577D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В случае, если инициативный проект не был реализован, инициативные платежи подлежат возврату лицам (в том числе организациям), осуществившим их перечисление в местный бюджет Нефтеюганского района. </w:t>
            </w:r>
          </w:p>
          <w:p w:rsidR="00E4632F" w:rsidRPr="00F577D7" w:rsidRDefault="00E4632F" w:rsidP="00A35B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образования по итогам реализации инициативного проекта остатка инициативных платежей, не использованных в целях реализации инициативного проекта, указанные платежи подлежат возврату лицам (в том числе организациям), осуществившим их перечисление в бюджет Нефтеюганского района. </w:t>
            </w:r>
          </w:p>
          <w:p w:rsidR="00E4632F" w:rsidRPr="00F577D7" w:rsidRDefault="00E4632F" w:rsidP="00A35B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7D7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расчета и возврата сумм инициативных платежей, подлежащих возврату лицам (в том числе организациям), изложен в разделе 3 настоящего Порядка.</w:t>
            </w:r>
          </w:p>
          <w:p w:rsidR="00E4632F" w:rsidRPr="00C3113E" w:rsidRDefault="00E4632F" w:rsidP="00A35B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7D7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Финансовые обязательства по исполнению муниципальных контрактов, заключенных в текущем финансовом году, возникающие после 25 декабря текущего финансового года, подлежат оплате за счет остатков бюджетных ассигнований, предусмотренных в очередном финансовом году.</w:t>
            </w:r>
          </w:p>
        </w:tc>
      </w:tr>
      <w:tr w:rsidR="00E4632F" w:rsidRPr="00C3113E" w:rsidTr="00E4632F">
        <w:trPr>
          <w:trHeight w:val="624"/>
        </w:trPr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2F" w:rsidRPr="00F577D7" w:rsidRDefault="00E4632F" w:rsidP="00A35BF1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7D7">
              <w:rPr>
                <w:rFonts w:ascii="Times New Roman" w:eastAsia="Times New Roman" w:hAnsi="Times New Roman" w:cs="Times New Roman"/>
                <w:sz w:val="24"/>
                <w:szCs w:val="24"/>
              </w:rPr>
              <w:t>1.18.</w:t>
            </w:r>
            <w:r w:rsidRPr="00F577D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Заявка о направлении инициативного проекта направляется с 01 июня до 1 июля текущего финансового года по форме согласно приложению № 1 к настоящему Порядку с приложением документов, указанных в подпункте 2.4.9 пункта 2.4 раздела 2 настоящего Порядка одним из следующих способов:</w:t>
            </w:r>
          </w:p>
          <w:p w:rsidR="00E4632F" w:rsidRPr="00F577D7" w:rsidRDefault="00E4632F" w:rsidP="00A35BF1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7D7">
              <w:rPr>
                <w:rFonts w:ascii="Times New Roman" w:eastAsia="Times New Roman" w:hAnsi="Times New Roman" w:cs="Times New Roman"/>
                <w:sz w:val="24"/>
                <w:szCs w:val="24"/>
              </w:rPr>
              <w:t>- в Управление;</w:t>
            </w:r>
          </w:p>
          <w:p w:rsidR="00E4632F" w:rsidRPr="00143F2D" w:rsidRDefault="00E4632F" w:rsidP="00A35BF1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7D7">
              <w:rPr>
                <w:rFonts w:ascii="Times New Roman" w:eastAsia="Times New Roman" w:hAnsi="Times New Roman" w:cs="Times New Roman"/>
                <w:sz w:val="24"/>
                <w:szCs w:val="24"/>
              </w:rPr>
              <w:t>- в информационную систему управления проектами isib.myopenugra.ru.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2F" w:rsidRPr="00F577D7" w:rsidRDefault="00E4632F" w:rsidP="00A35B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7D7">
              <w:rPr>
                <w:rFonts w:ascii="Times New Roman" w:eastAsia="Times New Roman" w:hAnsi="Times New Roman" w:cs="Times New Roman"/>
                <w:sz w:val="24"/>
                <w:szCs w:val="24"/>
              </w:rPr>
              <w:t>1.17.</w:t>
            </w:r>
            <w:r w:rsidRPr="00F577D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Заявка о направлении инициативного проекта направляется с 01 мая до 1 июня текущего финансового года по форме согласно Приложению № 1 к настоящему Порядку с приложением документов, указанных в подпункте 2.4.8 пункта 2.4 раздела 2 настоящего Порядка одним из следующих способов:</w:t>
            </w:r>
          </w:p>
          <w:p w:rsidR="00E4632F" w:rsidRPr="00F577D7" w:rsidRDefault="00E4632F" w:rsidP="00A35B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7D7">
              <w:rPr>
                <w:rFonts w:ascii="Times New Roman" w:eastAsia="Times New Roman" w:hAnsi="Times New Roman" w:cs="Times New Roman"/>
                <w:sz w:val="24"/>
                <w:szCs w:val="24"/>
              </w:rPr>
              <w:t>- в Комитет;</w:t>
            </w:r>
          </w:p>
          <w:p w:rsidR="00E4632F" w:rsidRPr="00C3113E" w:rsidRDefault="00E4632F" w:rsidP="00A35B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7D7">
              <w:rPr>
                <w:rFonts w:ascii="Times New Roman" w:eastAsia="Times New Roman" w:hAnsi="Times New Roman" w:cs="Times New Roman"/>
                <w:sz w:val="24"/>
                <w:szCs w:val="24"/>
              </w:rPr>
              <w:t>- в информационную систему управления проектами isib.myopenugra.ru.</w:t>
            </w:r>
          </w:p>
        </w:tc>
      </w:tr>
      <w:tr w:rsidR="00E4632F" w:rsidRPr="00C3113E" w:rsidTr="00E4632F">
        <w:trPr>
          <w:trHeight w:val="143"/>
        </w:trPr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2F" w:rsidRPr="00143F2D" w:rsidRDefault="00E4632F" w:rsidP="00A35BF1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7D7">
              <w:rPr>
                <w:rFonts w:ascii="Times New Roman" w:eastAsia="Times New Roman" w:hAnsi="Times New Roman" w:cs="Times New Roman"/>
                <w:sz w:val="24"/>
                <w:szCs w:val="24"/>
              </w:rPr>
              <w:t>1.19.</w:t>
            </w:r>
            <w:r w:rsidRPr="00F577D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Проведение конкурсного отбора инициативных проектов осуществляется коллегиальным органом (комиссией) по проведению конкурсного отбора проектов на уровне Нефтеюганского района (далее – Комиссия). Порядок формирования и деятельности Комиссии установлен разделом 4 настоящего </w:t>
            </w:r>
            <w:r w:rsidRPr="00F577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Порядка.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2F" w:rsidRPr="00C3113E" w:rsidRDefault="00E4632F" w:rsidP="00A35B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E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1.18.</w:t>
            </w:r>
            <w:r w:rsidRPr="00171EC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Проведение конкурсного отбора инициативных проектов осуществляется Комиссией по проведению конкурсного отбора проектов на уровне Нефтеюганского района (далее – Комиссия). Порядок формирования и деятельности Комиссии установлен разделом 5 настоящего Порядка.</w:t>
            </w:r>
          </w:p>
        </w:tc>
      </w:tr>
      <w:tr w:rsidR="00E4632F" w:rsidRPr="00C3113E" w:rsidTr="00E4632F">
        <w:trPr>
          <w:trHeight w:val="143"/>
        </w:trPr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2F" w:rsidRPr="00143F2D" w:rsidRDefault="00E4632F" w:rsidP="00A35BF1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6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2.1.1. инициативная группа численностью не менее пяти граждан, достигших шестнадцатилетнего возраста и проживающих на территории Нефтеюганского района;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2F" w:rsidRPr="00C3113E" w:rsidRDefault="00E4632F" w:rsidP="00A35B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6EA">
              <w:rPr>
                <w:rFonts w:ascii="Times New Roman" w:eastAsia="Times New Roman" w:hAnsi="Times New Roman" w:cs="Times New Roman"/>
                <w:sz w:val="24"/>
                <w:szCs w:val="24"/>
              </w:rPr>
              <w:t>2.1.1. инициативная группа численностью не менее двух граждан, достигших шестнадцатилетнего возраста и проживающих на территории Нефтеюганского района;</w:t>
            </w:r>
          </w:p>
        </w:tc>
      </w:tr>
      <w:tr w:rsidR="00E4632F" w:rsidRPr="00C3113E" w:rsidTr="00E4632F">
        <w:trPr>
          <w:trHeight w:val="143"/>
        </w:trPr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2F" w:rsidRPr="00143F2D" w:rsidRDefault="00E4632F" w:rsidP="00A35BF1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6EA">
              <w:rPr>
                <w:rFonts w:ascii="Times New Roman" w:eastAsia="Times New Roman" w:hAnsi="Times New Roman" w:cs="Times New Roman"/>
                <w:sz w:val="24"/>
                <w:szCs w:val="24"/>
              </w:rPr>
              <w:t>2.9.</w:t>
            </w:r>
            <w:r w:rsidRPr="002256E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Представленный в Управление инициативный проект подлежит регистрации в журнале инициативных проектов под порядковым номером с указанием даты и точного времени его представления (часы и минуты). На копии описи представленных документов делается отметка о дате и времени представления инициативного проекта с указанием номера.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2F" w:rsidRPr="00C3113E" w:rsidRDefault="00E4632F" w:rsidP="00A35B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6EA">
              <w:rPr>
                <w:rFonts w:ascii="Times New Roman" w:eastAsia="Times New Roman" w:hAnsi="Times New Roman" w:cs="Times New Roman"/>
                <w:sz w:val="24"/>
                <w:szCs w:val="24"/>
              </w:rPr>
              <w:t>2.9.</w:t>
            </w:r>
            <w:r w:rsidRPr="002256E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Представленный в Комитет инициативный проект подлежит регистрации в журнале инициативных проектов под порядковым номером с указанием даты и точного времени его представления (часы и минуты). На копии описи представленных документов делается отметка о дате и времени представления инициативного проекта с указанием номера.</w:t>
            </w:r>
          </w:p>
        </w:tc>
      </w:tr>
      <w:tr w:rsidR="00E4632F" w:rsidRPr="002256EA" w:rsidTr="00E4632F">
        <w:trPr>
          <w:trHeight w:val="143"/>
        </w:trPr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2F" w:rsidRPr="002256EA" w:rsidRDefault="00E4632F" w:rsidP="00A35BF1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6EA">
              <w:rPr>
                <w:rFonts w:ascii="Times New Roman" w:eastAsia="Times New Roman" w:hAnsi="Times New Roman" w:cs="Times New Roman"/>
                <w:sz w:val="24"/>
                <w:szCs w:val="24"/>
              </w:rPr>
              <w:t>2.10.</w:t>
            </w:r>
            <w:r w:rsidRPr="002256E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Инициативный проект подлежит обязательному рассмотрению администрацией Нефтеюганского района в течение 30 дней со дня его внесения.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2F" w:rsidRPr="002256EA" w:rsidRDefault="00E4632F" w:rsidP="00A35B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6EA">
              <w:rPr>
                <w:rFonts w:ascii="Times New Roman" w:eastAsia="Times New Roman" w:hAnsi="Times New Roman" w:cs="Times New Roman"/>
                <w:sz w:val="24"/>
                <w:szCs w:val="24"/>
              </w:rPr>
              <w:t>2.10.</w:t>
            </w:r>
            <w:r w:rsidRPr="002256E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Инициативный проект подлежит обязательному рассмотрению Комиссией в течение 30 дней со дня его внесения.</w:t>
            </w:r>
          </w:p>
        </w:tc>
      </w:tr>
      <w:tr w:rsidR="00E4632F" w:rsidRPr="002256EA" w:rsidTr="00E4632F">
        <w:trPr>
          <w:trHeight w:val="143"/>
        </w:trPr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2F" w:rsidRPr="002256EA" w:rsidRDefault="00E4632F" w:rsidP="00A35BF1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2F" w:rsidRPr="002256EA" w:rsidRDefault="00E4632F" w:rsidP="00A35B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6EA">
              <w:rPr>
                <w:rFonts w:ascii="Times New Roman" w:eastAsia="Times New Roman" w:hAnsi="Times New Roman" w:cs="Times New Roman"/>
                <w:sz w:val="24"/>
                <w:szCs w:val="24"/>
              </w:rPr>
              <w:t>2.11. Инициативные проекты в течение трех рабочих дней со дня их внесения в администрацию района направляются Комитетом в адрес отраслевых (функциональных) органов администрации района, курирующих направления деятельности, которым соответствует внесенный инициативный проект.</w:t>
            </w:r>
          </w:p>
        </w:tc>
      </w:tr>
      <w:tr w:rsidR="00E4632F" w:rsidRPr="002256EA" w:rsidTr="00E4632F">
        <w:trPr>
          <w:trHeight w:val="143"/>
        </w:trPr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2F" w:rsidRPr="002256EA" w:rsidRDefault="00E4632F" w:rsidP="00A35BF1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2F" w:rsidRPr="001163B5" w:rsidRDefault="00E4632F" w:rsidP="00A35B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2.12. </w:t>
            </w:r>
            <w:r w:rsidRPr="001163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Отраслевые (функциональные) органы администрации района, курирующие направления деятельности, которым соответствует внесенный инициативный проект, осуществляют подготовку и направление в адрес Комитета заключения о правомерности, возможности, целесообразности реализации соответствующего инициативного проекта. </w:t>
            </w:r>
          </w:p>
          <w:p w:rsidR="00E4632F" w:rsidRPr="002256EA" w:rsidRDefault="00E4632F" w:rsidP="00A35B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3B5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направление заключения осуществляется по каждому инициативному проекту в срок не позднее 10 календарных дней со дня поступления проекта в отраслевой (функциональный) орган администрации района, курирующий направления деятельности, которым соответствует внесенный инициативный проект.</w:t>
            </w:r>
          </w:p>
        </w:tc>
      </w:tr>
      <w:tr w:rsidR="00E4632F" w:rsidRPr="002256EA" w:rsidTr="00E4632F">
        <w:trPr>
          <w:trHeight w:val="6642"/>
        </w:trPr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2F" w:rsidRPr="001163B5" w:rsidRDefault="00E4632F" w:rsidP="00A35BF1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2.10. </w:t>
            </w:r>
            <w:r w:rsidRPr="001163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Инициативный проект подлежит обязательному рассмотрению администрацией Нефтеюганского района в течение 30 дней со дня его внесения. </w:t>
            </w:r>
          </w:p>
          <w:p w:rsidR="00E4632F" w:rsidRPr="001163B5" w:rsidRDefault="00E4632F" w:rsidP="00A35BF1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3B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По результатам рассмотрения инициативного проекта принимается одно из следующих решений:</w:t>
            </w:r>
          </w:p>
          <w:p w:rsidR="00E4632F" w:rsidRPr="001163B5" w:rsidRDefault="00E4632F" w:rsidP="00A35BF1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3B5">
              <w:rPr>
                <w:rFonts w:ascii="Times New Roman" w:eastAsia="Times New Roman" w:hAnsi="Times New Roman" w:cs="Times New Roman"/>
                <w:sz w:val="24"/>
                <w:szCs w:val="24"/>
              </w:rPr>
              <w:t>2.10.1.</w:t>
            </w:r>
            <w:r w:rsidRPr="001163B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поддержать инициативный проект и продолжить работу над ним в пределах бюджетных ассигнований, предусмотренных решением о бюджете Нефтеюганского района, на соответствующие цели и (или) в соответствии с порядком составления и рассмотрения проекта бюджета Нефтеюганского района (внесения изменений в решение о бюджете Нефтеюганского района);</w:t>
            </w:r>
          </w:p>
          <w:p w:rsidR="00E4632F" w:rsidRPr="002256EA" w:rsidRDefault="00E4632F" w:rsidP="00A35BF1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3B5">
              <w:rPr>
                <w:rFonts w:ascii="Times New Roman" w:eastAsia="Times New Roman" w:hAnsi="Times New Roman" w:cs="Times New Roman"/>
                <w:sz w:val="24"/>
                <w:szCs w:val="24"/>
              </w:rPr>
              <w:t>2.10.2.</w:t>
            </w:r>
            <w:r w:rsidRPr="001163B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отказать в поддержке инициативного проекта и вернуть его инициаторам проекта с указанием причин отказа в поддержке инициативного проекта.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2F" w:rsidRPr="001163B5" w:rsidRDefault="00E4632F" w:rsidP="00A35B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3B5">
              <w:rPr>
                <w:rFonts w:ascii="Times New Roman" w:eastAsia="Times New Roman" w:hAnsi="Times New Roman" w:cs="Times New Roman"/>
                <w:sz w:val="24"/>
                <w:szCs w:val="24"/>
              </w:rPr>
              <w:t>2.13. В случае, если в администрацию района внесено несколько инициативных проектов, уполномоченный орган организует проведение конкурсного отбора и информирует об этом инициатора проекта.</w:t>
            </w:r>
          </w:p>
          <w:p w:rsidR="00E4632F" w:rsidRPr="001163B5" w:rsidRDefault="00E4632F" w:rsidP="00A35B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3B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По результатам рассмотрения инициативного проекта принимается одно из следующих решений:</w:t>
            </w:r>
          </w:p>
          <w:p w:rsidR="00E4632F" w:rsidRPr="001163B5" w:rsidRDefault="00E4632F" w:rsidP="00A35B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3B5">
              <w:rPr>
                <w:rFonts w:ascii="Times New Roman" w:eastAsia="Times New Roman" w:hAnsi="Times New Roman" w:cs="Times New Roman"/>
                <w:sz w:val="24"/>
                <w:szCs w:val="24"/>
              </w:rPr>
              <w:t>- поддержать инициативный проект и продолжить работу над ним в пределах бюджетных ассигнований, предусмотренных решением о бюджете Нефтеюганского района, на соответствующие цели и (или) в соответствии с порядком составления и рассмотрения проекта бюджета Нефтеюганского района (внесения изменений в решение о бюджете Нефтеюганского района);</w:t>
            </w:r>
          </w:p>
          <w:p w:rsidR="00E4632F" w:rsidRPr="001163B5" w:rsidRDefault="00E4632F" w:rsidP="00A35B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3B5">
              <w:rPr>
                <w:rFonts w:ascii="Times New Roman" w:eastAsia="Times New Roman" w:hAnsi="Times New Roman" w:cs="Times New Roman"/>
                <w:sz w:val="24"/>
                <w:szCs w:val="24"/>
              </w:rPr>
              <w:t>- отказать в поддержке инициативного проекта и вернуть его инициаторам проекта с указанием причин отказа в поддержке инициативного проекта.</w:t>
            </w:r>
          </w:p>
          <w:p w:rsidR="00E4632F" w:rsidRPr="002256EA" w:rsidRDefault="00E4632F" w:rsidP="00A35B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632F" w:rsidRPr="002256EA" w:rsidTr="00E4632F">
        <w:trPr>
          <w:trHeight w:val="949"/>
        </w:trPr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2F" w:rsidRPr="002256EA" w:rsidRDefault="00E4632F" w:rsidP="00A35BF1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2F" w:rsidRPr="002256EA" w:rsidRDefault="00E4632F" w:rsidP="00A35B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3B5">
              <w:rPr>
                <w:rFonts w:ascii="Times New Roman" w:eastAsia="Times New Roman" w:hAnsi="Times New Roman" w:cs="Times New Roman"/>
                <w:sz w:val="24"/>
                <w:szCs w:val="24"/>
              </w:rPr>
              <w:t>2.14.</w:t>
            </w:r>
            <w:r w:rsidRPr="001163B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Комиссия принимает решение об отказе в поддержке инициативного проекта в одном из следующих случаев:</w:t>
            </w:r>
          </w:p>
        </w:tc>
      </w:tr>
      <w:tr w:rsidR="00E4632F" w:rsidRPr="002256EA" w:rsidTr="00E4632F">
        <w:trPr>
          <w:trHeight w:val="637"/>
        </w:trPr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2F" w:rsidRPr="002256EA" w:rsidRDefault="00E4632F" w:rsidP="00A35BF1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2F" w:rsidRPr="002256EA" w:rsidRDefault="00E4632F" w:rsidP="00A35B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3B5">
              <w:rPr>
                <w:rFonts w:ascii="Times New Roman" w:eastAsia="Times New Roman" w:hAnsi="Times New Roman" w:cs="Times New Roman"/>
                <w:sz w:val="24"/>
                <w:szCs w:val="24"/>
              </w:rPr>
              <w:t>2.15. Решение об отказе в поддержке инициативного проекта оформляется Протоколом.</w:t>
            </w:r>
          </w:p>
        </w:tc>
      </w:tr>
      <w:tr w:rsidR="00E4632F" w:rsidRPr="002256EA" w:rsidTr="00E4632F">
        <w:trPr>
          <w:trHeight w:val="2846"/>
        </w:trPr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2F" w:rsidRPr="002256EA" w:rsidRDefault="00E4632F" w:rsidP="00A35BF1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2F" w:rsidRPr="002256EA" w:rsidRDefault="00E4632F" w:rsidP="00A35B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3B5">
              <w:rPr>
                <w:rFonts w:ascii="Times New Roman" w:eastAsia="Times New Roman" w:hAnsi="Times New Roman" w:cs="Times New Roman"/>
                <w:sz w:val="24"/>
                <w:szCs w:val="24"/>
              </w:rPr>
              <w:t>2.16.</w:t>
            </w:r>
            <w:r w:rsidRPr="001163B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Комиссия вправе, в случае, предусмотренном подпунктом 2.14.5 пункта 2.14 настоящего Порядка, предложить инициаторам проекта совместно доработать инициативный проект,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компетенцией.</w:t>
            </w:r>
          </w:p>
        </w:tc>
      </w:tr>
      <w:tr w:rsidR="00E4632F" w:rsidRPr="002256EA" w:rsidTr="00E4632F">
        <w:trPr>
          <w:trHeight w:val="461"/>
        </w:trPr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2F" w:rsidRPr="002256EA" w:rsidRDefault="00E4632F" w:rsidP="00A35BF1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2F" w:rsidRPr="002256EA" w:rsidRDefault="00E4632F" w:rsidP="00A35B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Дополнен разделом 3 «</w:t>
            </w:r>
            <w:r w:rsidRPr="00165BD0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расчета и возврата сумм инициативных платежей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E4632F" w:rsidRPr="002256EA" w:rsidTr="00E4632F">
        <w:trPr>
          <w:trHeight w:val="949"/>
        </w:trPr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2F" w:rsidRPr="002256EA" w:rsidRDefault="00E4632F" w:rsidP="00A35BF1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2F" w:rsidRPr="002256EA" w:rsidRDefault="00E4632F" w:rsidP="00A35B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Дополнен разделом 4</w:t>
            </w:r>
            <w:r w:rsidRPr="00165B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«Определение территории, в интересах населения на которой могут реализовываться инициативные проекты».</w:t>
            </w:r>
          </w:p>
        </w:tc>
      </w:tr>
      <w:tr w:rsidR="00E4632F" w:rsidRPr="002256EA" w:rsidTr="00E4632F">
        <w:trPr>
          <w:trHeight w:val="2209"/>
        </w:trPr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2F" w:rsidRPr="002256EA" w:rsidRDefault="00E4632F" w:rsidP="00A35BF1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7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3.1. В случае, если в администрацию Нефтеюганского района внесено несколько инициативных проектов, в том числе с описанием аналогичных по содержанию приоритетных проблем, Управление организует проведение конкурсного отбора и информирует об э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инициаторов проекта.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2F" w:rsidRPr="002256EA" w:rsidRDefault="00E4632F" w:rsidP="00A35B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72F">
              <w:rPr>
                <w:rFonts w:ascii="Times New Roman" w:eastAsia="Times New Roman" w:hAnsi="Times New Roman" w:cs="Times New Roman"/>
                <w:sz w:val="24"/>
                <w:szCs w:val="24"/>
              </w:rPr>
              <w:t>5.1. В случае, если в администрацию Нефтеюганского района внесено несколько инициативных проектов, в том числе с описанием аналогичных по содержанию приоритетных проблем, Комитет организует проведение конкурсного отбора и информиру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 об этом инициаторов проекта.</w:t>
            </w:r>
          </w:p>
        </w:tc>
      </w:tr>
      <w:tr w:rsidR="00E4632F" w:rsidRPr="0072572F" w:rsidTr="00E4632F">
        <w:trPr>
          <w:trHeight w:val="748"/>
        </w:trPr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2F" w:rsidRPr="0072572F" w:rsidRDefault="00E4632F" w:rsidP="00A35BF1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72F">
              <w:rPr>
                <w:rFonts w:ascii="Times New Roman" w:eastAsia="Times New Roman" w:hAnsi="Times New Roman" w:cs="Times New Roman"/>
                <w:sz w:val="24"/>
                <w:szCs w:val="24"/>
              </w:rPr>
              <w:t>3.2. Для организации и проведения конкурсного отбора Управление: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2F" w:rsidRPr="0072572F" w:rsidRDefault="00E4632F" w:rsidP="00A35B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72F">
              <w:rPr>
                <w:rFonts w:ascii="Times New Roman" w:eastAsia="Times New Roman" w:hAnsi="Times New Roman" w:cs="Times New Roman"/>
                <w:sz w:val="24"/>
                <w:szCs w:val="24"/>
              </w:rPr>
              <w:t>5.2. Для организации и проведения конкурсного отбора Комитет:</w:t>
            </w:r>
          </w:p>
        </w:tc>
      </w:tr>
      <w:tr w:rsidR="00E4632F" w:rsidRPr="002256EA" w:rsidTr="00E4632F">
        <w:trPr>
          <w:trHeight w:val="748"/>
        </w:trPr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2F" w:rsidRPr="002256EA" w:rsidRDefault="00E4632F" w:rsidP="00A35BF1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3.2.3. </w:t>
            </w:r>
            <w:r w:rsidRPr="0072572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организует заседание Комиссии не позднее 15 августа текущего финансового года.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2F" w:rsidRPr="002256EA" w:rsidRDefault="00E4632F" w:rsidP="00A35B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72F">
              <w:rPr>
                <w:rFonts w:ascii="Times New Roman" w:eastAsia="Times New Roman" w:hAnsi="Times New Roman" w:cs="Times New Roman"/>
                <w:sz w:val="24"/>
                <w:szCs w:val="24"/>
              </w:rPr>
              <w:t>5.2.3.</w:t>
            </w:r>
            <w:r w:rsidRPr="0072572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организует заседание Комиссии не позднее 20 июня текущего финансового года.</w:t>
            </w:r>
          </w:p>
        </w:tc>
      </w:tr>
    </w:tbl>
    <w:p w:rsidR="00B95B8D" w:rsidRPr="0066307B" w:rsidRDefault="00B95B8D" w:rsidP="00B95B8D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</w:rPr>
      </w:pPr>
    </w:p>
    <w:p w:rsidR="00B95B8D" w:rsidRDefault="00B95B8D" w:rsidP="00FB48C1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633BDA" w:rsidRDefault="00633BDA" w:rsidP="00A00742">
      <w:pPr>
        <w:tabs>
          <w:tab w:val="left" w:pos="0"/>
          <w:tab w:val="left" w:pos="9355"/>
        </w:tabs>
        <w:spacing w:after="0" w:line="240" w:lineRule="auto"/>
        <w:ind w:right="-142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F64E55" w:rsidRDefault="00F64E55" w:rsidP="000753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753B7" w:rsidRPr="000753B7" w:rsidRDefault="000753B7" w:rsidP="000753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753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Начальник отдела </w:t>
      </w:r>
      <w:r w:rsidR="00E463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О.В. Колесникова </w:t>
      </w:r>
    </w:p>
    <w:p w:rsidR="0060470D" w:rsidRPr="00874557" w:rsidRDefault="000753B7" w:rsidP="008745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753B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753B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753B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753B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753B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60470D" w:rsidRDefault="0060470D" w:rsidP="002324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0470D" w:rsidRDefault="0060470D" w:rsidP="002324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0470D" w:rsidRDefault="0060470D" w:rsidP="002324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0470D" w:rsidRDefault="0060470D" w:rsidP="002324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0470D" w:rsidRDefault="0060470D" w:rsidP="002324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0470D" w:rsidRDefault="0060470D" w:rsidP="002324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0470D" w:rsidRDefault="0060470D" w:rsidP="002324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0470D" w:rsidRDefault="0060470D" w:rsidP="002324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0470D" w:rsidRDefault="0060470D" w:rsidP="002324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0470D" w:rsidRDefault="0060470D" w:rsidP="002324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0470D" w:rsidRDefault="0060470D" w:rsidP="002324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0470D" w:rsidRDefault="0060470D" w:rsidP="002324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0470D" w:rsidRDefault="0060470D" w:rsidP="002324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32448" w:rsidRDefault="00232448" w:rsidP="002324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232448" w:rsidSect="00E4632F">
      <w:pgSz w:w="11906" w:h="16838"/>
      <w:pgMar w:top="1134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11BF0"/>
    <w:multiLevelType w:val="multilevel"/>
    <w:tmpl w:val="D67CDD6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15D70FD8"/>
    <w:multiLevelType w:val="multilevel"/>
    <w:tmpl w:val="FD38E048"/>
    <w:lvl w:ilvl="0">
      <w:start w:val="1"/>
      <w:numFmt w:val="decimal"/>
      <w:lvlText w:val="%1."/>
      <w:lvlJc w:val="left"/>
      <w:pPr>
        <w:ind w:left="2156" w:hanging="13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2" w15:restartNumberingAfterBreak="0">
    <w:nsid w:val="17205330"/>
    <w:multiLevelType w:val="multilevel"/>
    <w:tmpl w:val="29341E7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C2A148F"/>
    <w:multiLevelType w:val="multilevel"/>
    <w:tmpl w:val="1F50C060"/>
    <w:lvl w:ilvl="0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35" w:hanging="13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35" w:hanging="13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35" w:hanging="133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35" w:hanging="133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4" w15:restartNumberingAfterBreak="0">
    <w:nsid w:val="3FC80CAE"/>
    <w:multiLevelType w:val="multilevel"/>
    <w:tmpl w:val="4AF2A23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color w:val="000000"/>
      </w:rPr>
    </w:lvl>
  </w:abstractNum>
  <w:abstractNum w:abstractNumId="5" w15:restartNumberingAfterBreak="0">
    <w:nsid w:val="50F171A1"/>
    <w:multiLevelType w:val="multilevel"/>
    <w:tmpl w:val="1D3CD64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B400274"/>
    <w:multiLevelType w:val="multilevel"/>
    <w:tmpl w:val="24B4636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7" w15:restartNumberingAfterBreak="0">
    <w:nsid w:val="5CCE14AB"/>
    <w:multiLevelType w:val="multilevel"/>
    <w:tmpl w:val="5A04D19E"/>
    <w:lvl w:ilvl="0">
      <w:start w:val="2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start w:val="6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ru-RU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0AB5C84"/>
    <w:multiLevelType w:val="multilevel"/>
    <w:tmpl w:val="D550FD70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35"/>
        </w:tabs>
        <w:ind w:left="2135" w:hanging="14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41"/>
        </w:tabs>
        <w:ind w:left="2541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57"/>
        </w:tabs>
        <w:ind w:left="2757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973"/>
        </w:tabs>
        <w:ind w:left="2973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04"/>
        </w:tabs>
        <w:ind w:left="3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0"/>
        </w:tabs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96"/>
        </w:tabs>
        <w:ind w:left="39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212"/>
        </w:tabs>
        <w:ind w:left="4212" w:hanging="1800"/>
      </w:pPr>
      <w:rPr>
        <w:rFonts w:hint="default"/>
      </w:rPr>
    </w:lvl>
  </w:abstractNum>
  <w:abstractNum w:abstractNumId="9" w15:restartNumberingAfterBreak="0">
    <w:nsid w:val="71743E1D"/>
    <w:multiLevelType w:val="hybridMultilevel"/>
    <w:tmpl w:val="BBC636AE"/>
    <w:lvl w:ilvl="0" w:tplc="7CFA0A58">
      <w:start w:val="1"/>
      <w:numFmt w:val="bullet"/>
      <w:lvlText w:val=""/>
      <w:lvlJc w:val="left"/>
      <w:pPr>
        <w:tabs>
          <w:tab w:val="num" w:pos="1470"/>
        </w:tabs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90"/>
        </w:tabs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hint="default"/>
      </w:rPr>
    </w:lvl>
  </w:abstractNum>
  <w:abstractNum w:abstractNumId="10" w15:restartNumberingAfterBreak="0">
    <w:nsid w:val="7FD67841"/>
    <w:multiLevelType w:val="hybridMultilevel"/>
    <w:tmpl w:val="BE94EA4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5"/>
  </w:num>
  <w:num w:numId="5">
    <w:abstractNumId w:val="2"/>
  </w:num>
  <w:num w:numId="6">
    <w:abstractNumId w:val="4"/>
  </w:num>
  <w:num w:numId="7">
    <w:abstractNumId w:val="9"/>
  </w:num>
  <w:num w:numId="8">
    <w:abstractNumId w:val="0"/>
  </w:num>
  <w:num w:numId="9">
    <w:abstractNumId w:val="7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F41"/>
    <w:rsid w:val="000753B7"/>
    <w:rsid w:val="001337DD"/>
    <w:rsid w:val="00232448"/>
    <w:rsid w:val="002C778F"/>
    <w:rsid w:val="003B7C6E"/>
    <w:rsid w:val="003D0463"/>
    <w:rsid w:val="003D701F"/>
    <w:rsid w:val="005D6F28"/>
    <w:rsid w:val="0060470D"/>
    <w:rsid w:val="00620F63"/>
    <w:rsid w:val="00633BDA"/>
    <w:rsid w:val="006F7EFF"/>
    <w:rsid w:val="0071781C"/>
    <w:rsid w:val="00770F41"/>
    <w:rsid w:val="007D6315"/>
    <w:rsid w:val="00801B00"/>
    <w:rsid w:val="00811B7F"/>
    <w:rsid w:val="00874557"/>
    <w:rsid w:val="008D56E3"/>
    <w:rsid w:val="00977D38"/>
    <w:rsid w:val="009B06CA"/>
    <w:rsid w:val="009F47B0"/>
    <w:rsid w:val="00A00742"/>
    <w:rsid w:val="00AA77A4"/>
    <w:rsid w:val="00AB6F89"/>
    <w:rsid w:val="00B44124"/>
    <w:rsid w:val="00B51270"/>
    <w:rsid w:val="00B561DF"/>
    <w:rsid w:val="00B95B8D"/>
    <w:rsid w:val="00BD71C3"/>
    <w:rsid w:val="00BF6476"/>
    <w:rsid w:val="00C24E44"/>
    <w:rsid w:val="00C51C6A"/>
    <w:rsid w:val="00DC1796"/>
    <w:rsid w:val="00E00198"/>
    <w:rsid w:val="00E005A5"/>
    <w:rsid w:val="00E07B81"/>
    <w:rsid w:val="00E4632F"/>
    <w:rsid w:val="00EB2264"/>
    <w:rsid w:val="00ED3BA3"/>
    <w:rsid w:val="00EF72D5"/>
    <w:rsid w:val="00F33F0E"/>
    <w:rsid w:val="00F64E55"/>
    <w:rsid w:val="00FB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84092"/>
  <w15:docId w15:val="{49564EE0-383E-4350-BA6D-FB60E5608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0F41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kern w:val="1"/>
      <w:sz w:val="24"/>
      <w:szCs w:val="24"/>
    </w:rPr>
  </w:style>
  <w:style w:type="table" w:styleId="a4">
    <w:name w:val="Table Grid"/>
    <w:basedOn w:val="a1"/>
    <w:uiPriority w:val="59"/>
    <w:rsid w:val="00633B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нак"/>
    <w:basedOn w:val="a"/>
    <w:rsid w:val="00AA77A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basedOn w:val="a"/>
    <w:rsid w:val="009F4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link w:val="1"/>
    <w:rsid w:val="009F47B0"/>
    <w:rPr>
      <w:spacing w:val="8"/>
      <w:shd w:val="clear" w:color="auto" w:fill="FFFFFF"/>
    </w:rPr>
  </w:style>
  <w:style w:type="paragraph" w:customStyle="1" w:styleId="1">
    <w:name w:val="Основной текст1"/>
    <w:basedOn w:val="a"/>
    <w:link w:val="a7"/>
    <w:rsid w:val="009F47B0"/>
    <w:pPr>
      <w:widowControl w:val="0"/>
      <w:shd w:val="clear" w:color="auto" w:fill="FFFFFF"/>
      <w:spacing w:after="600" w:line="0" w:lineRule="atLeast"/>
      <w:jc w:val="both"/>
    </w:pPr>
    <w:rPr>
      <w:spacing w:val="8"/>
    </w:rPr>
  </w:style>
  <w:style w:type="paragraph" w:customStyle="1" w:styleId="ConsPlusNormal">
    <w:name w:val="ConsPlusNormal"/>
    <w:rsid w:val="00AB6F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8">
    <w:name w:val="Знак"/>
    <w:basedOn w:val="a"/>
    <w:rsid w:val="00C51C6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HTML">
    <w:name w:val="HTML Preformatted"/>
    <w:basedOn w:val="a"/>
    <w:link w:val="HTML0"/>
    <w:uiPriority w:val="99"/>
    <w:rsid w:val="00811B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11B7F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2DE20-F75A-4E36-BA72-93055DF62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6</Pages>
  <Words>1773</Words>
  <Characters>10107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Шумейко Ирина Михайловна</dc:creator>
  <cp:lastModifiedBy>Землянкина Жанна Викторовна</cp:lastModifiedBy>
  <cp:revision>20</cp:revision>
  <cp:lastPrinted>2019-09-16T10:51:00Z</cp:lastPrinted>
  <dcterms:created xsi:type="dcterms:W3CDTF">2018-03-28T07:43:00Z</dcterms:created>
  <dcterms:modified xsi:type="dcterms:W3CDTF">2023-02-08T05:08:00Z</dcterms:modified>
</cp:coreProperties>
</file>