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:rsidR="0017209D" w:rsidRPr="00091A32" w:rsidRDefault="0017209D" w:rsidP="0017209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201082" w:rsidRPr="00201082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201082" w:rsidRPr="00091A32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936801">
        <w:rPr>
          <w:rFonts w:ascii="Times New Roman" w:eastAsia="Calibri" w:hAnsi="Times New Roman" w:cs="Times New Roman"/>
          <w:b/>
          <w:sz w:val="26"/>
          <w:szCs w:val="26"/>
        </w:rPr>
        <w:t>28.12.2020</w:t>
      </w:r>
      <w:r w:rsidR="00143F2D">
        <w:rPr>
          <w:rFonts w:ascii="Times New Roman" w:eastAsia="Calibri" w:hAnsi="Times New Roman" w:cs="Times New Roman"/>
          <w:b/>
          <w:sz w:val="26"/>
          <w:szCs w:val="26"/>
        </w:rPr>
        <w:t xml:space="preserve"> № </w:t>
      </w:r>
      <w:r w:rsidR="00936801">
        <w:rPr>
          <w:rFonts w:ascii="Times New Roman" w:eastAsia="Calibri" w:hAnsi="Times New Roman" w:cs="Times New Roman"/>
          <w:b/>
          <w:sz w:val="26"/>
          <w:szCs w:val="26"/>
        </w:rPr>
        <w:t xml:space="preserve">563 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«</w:t>
      </w:r>
      <w:r w:rsidR="00936801" w:rsidRPr="00936801">
        <w:rPr>
          <w:rFonts w:ascii="Times New Roman" w:hAnsi="Times New Roman" w:cs="Times New Roman"/>
          <w:b/>
          <w:sz w:val="26"/>
          <w:szCs w:val="26"/>
        </w:rPr>
        <w:t>О реализации инициативных проектов в Нефтеюганском районе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»</w:t>
      </w: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7938"/>
      </w:tblGrid>
      <w:tr w:rsidR="00FD178B" w:rsidRPr="00F7016A" w:rsidTr="00FD178B">
        <w:trPr>
          <w:trHeight w:val="69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8B" w:rsidRPr="00F7016A" w:rsidRDefault="00FD178B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8B" w:rsidRPr="00F7016A" w:rsidRDefault="00FD178B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13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C311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Термины и понятия, используемые в настоящем Порядке,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1.2. </w:t>
            </w: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инициативных проектов в Нефтеюганском районе направлена на определение и реализацию социально значимых проектов на территориях муниципальных образований Нефтеюганского района с привлечением граждан и организаций к деятельности органов местного самоуправления в решении проблем местного значения.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1.3. Реализация инициативных проектов направлена на определение и реализацию социально значимых проектов на территориях муниципальных образований Нефтеюганского района с привлечением граждан и организаций к деятельности органов местного самоуправления в решении проблем местного значения.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(изменение нумерации)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Управление по вопросам местного самоуправления и обращениям граждан администрации Нефтеюганского района (далее – Управление):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 w:rsidR="004602CE" w:rsidRPr="004602C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Нефтеюганского района оказывает информационно-консультационную помощь инициаторам проекта до внесения инициативного проекта в администрацию.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F1157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1.7. Департамент финансов Нефтеюганского района:</w:t>
            </w:r>
          </w:p>
          <w:p w:rsidR="00FD178B" w:rsidRPr="00F1157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обеспечивает финансирование инициативного проекта из бюджета Нефтеюганского района;</w:t>
            </w:r>
          </w:p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осуществляет прием отчетов о завершении инициативных проектов.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6A0C06" w:rsidP="00F115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 w:rsidRPr="006A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экономической политике и предпринимательству администрации Нефтеюганского района (далее – Комитет):  </w:t>
            </w:r>
          </w:p>
        </w:tc>
      </w:tr>
      <w:tr w:rsidR="006A0C06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6" w:rsidRPr="00F1157D" w:rsidRDefault="006A0C06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6" w:rsidRDefault="006A0C06" w:rsidP="006A0C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06">
              <w:rPr>
                <w:rFonts w:ascii="Times New Roman" w:eastAsia="Times New Roman" w:hAnsi="Times New Roman" w:cs="Times New Roman"/>
                <w:sz w:val="24"/>
                <w:szCs w:val="24"/>
              </w:rPr>
              <w:t>1.8. Департамент</w:t>
            </w:r>
            <w:r w:rsidR="00984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 Нефтеюганского района </w:t>
            </w:r>
            <w:bookmarkStart w:id="0" w:name="_GoBack"/>
            <w:bookmarkEnd w:id="0"/>
            <w:r w:rsidRPr="006A0C0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финансирование инициативного проекта из бюджета Нефтеюганского района.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1.12.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Стоимость инициативного проекта не 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 1.12</w:t>
            </w:r>
            <w:r w:rsidRPr="00794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признать утратившим силу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1.13. 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проекту. Сумма бюджетных ассигнований из бюджета Нефтеюганского района для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софинанасирования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инициативного проекта не должна превышать 1,5 млн. рублей.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87A76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1.13.</w:t>
            </w: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Уровень </w:t>
            </w:r>
            <w:proofErr w:type="spellStart"/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проекту, но не может превышать 1,5 миллиона рублей.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F577D7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1.15. 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 Нефтеюганского района. </w:t>
            </w:r>
          </w:p>
          <w:p w:rsidR="00FD178B" w:rsidRPr="00F577D7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Нефтеюганского района. </w:t>
            </w:r>
          </w:p>
          <w:p w:rsidR="00FD178B" w:rsidRPr="00F577D7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платежей, подлежащих возврату лицам (в том числе организациям), изложен в Приложении № 2 к настоящему решению.</w:t>
            </w:r>
          </w:p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обязательства по исполнению муниципальных контрактов, заключенных в текущем финансовом году, возникающие после 25 декабря текущего финансового года, подлежат оплате за счет остатков бюджетных ассигнований, предусмотренных в очередном финансовом году.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76" w:rsidRPr="00F87A76" w:rsidRDefault="00F87A76" w:rsidP="00F87A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  <w:r w:rsidR="00FD178B"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D178B"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 Нефтеюганского района. </w:t>
            </w:r>
          </w:p>
          <w:p w:rsidR="00F87A76" w:rsidRPr="00F87A76" w:rsidRDefault="00F87A76" w:rsidP="00F87A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Нефтеюганского района. </w:t>
            </w:r>
          </w:p>
          <w:p w:rsidR="00FD178B" w:rsidRPr="00C3113E" w:rsidRDefault="00F87A76" w:rsidP="00F87A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платежей, подлежащих возврату лицам (в том числе организациям), изложен в разделе 3 настоящего Порядка.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F577D7" w:rsidRDefault="00FD178B" w:rsidP="00A80613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1.18. 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о направлении инициативного проекта направляется с 01 июня до 1 июля текущего финансового года по форме согласно приложению № 1 к настоящему Порядку с приложением документов, указанных в подпункте 2.4.9 пункта 2.4 раздела 2 настоящего Порядка одним из следующих 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способов:</w:t>
            </w:r>
          </w:p>
          <w:p w:rsidR="00FD178B" w:rsidRDefault="00FD178B" w:rsidP="00A80613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Управление;</w:t>
            </w:r>
          </w:p>
          <w:p w:rsidR="00FD178B" w:rsidRPr="00143F2D" w:rsidRDefault="00FD178B" w:rsidP="00A80613">
            <w:pPr>
              <w:tabs>
                <w:tab w:val="left" w:pos="0"/>
                <w:tab w:val="left" w:pos="142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информационную систему управления проектами isib.myopenugra.ru.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76" w:rsidRPr="00F87A76" w:rsidRDefault="00F87A76" w:rsidP="00F87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1.18</w:t>
            </w:r>
            <w:r w:rsidR="00FD178B"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D178B"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о направлении инициативного проекта направляется с 1 мая до 1 июня текущего финансового года по форме согласно Приложению № 1 к настоящему Порядку с приложением документов, указанных в подпункте 2.4.8 пункта 2.4 раздела 2 настоящего Порядка одним из следующих способов:</w:t>
            </w:r>
          </w:p>
          <w:p w:rsidR="00F87A76" w:rsidRPr="00F87A76" w:rsidRDefault="00F87A76" w:rsidP="00F87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 Комитет;</w:t>
            </w:r>
          </w:p>
          <w:p w:rsidR="00FD178B" w:rsidRPr="00C3113E" w:rsidRDefault="00F87A76" w:rsidP="00F87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- в информационную систему управления проектами isib.myopenugra.ru.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1.19. 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конкурсного отбора инициативных проектов осуществляется коллегиальным органом (комиссией) по проведению конкурсного отбора проектов на уровне Нефтеюганского района (далее – Комиссия). Порядок формирования и деятельности Комиссии установлен разделом 4 настоящего Порядка.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87A76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  <w:r w:rsidR="00FD178B" w:rsidRPr="00171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D178B" w:rsidRPr="00171E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87A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конкурсного отбора инициативных проектов осуществляется Комиссией по проведению конкурсного отбора проектов на уровне Нефтеюганского района (далее – Комиссия). Порядок формирования и деятельности Комиссии установлен разделом 6 настоящего Порядка.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2.1.1. инициативная группа численностью не менее пяти граждан, достигших шестнадцатилетнего возраста и проживающих на территории Нефтеюганского района;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2.1.1. инициативная группа численностью не менее двух граждан, достигших шестнадцатилетнего возраста и проживающих на территории Нефтеюганского района;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43F2D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2.9. 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Представленный в Управление инициативный проект подлежит регистрации в журнале инициативных проектов под порядковым номером с указанием даты и точного времени его представления (часы и минуты). На копии описи представленных документов делается отметка о дате и времени представления инициативного проекта с указанием номера.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C3113E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2.9. 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Представленный в Комитет инициативный проект подлежит регистрации в журнале инициативных проектов под порядковым номером с указанием даты и точного времени его представления (часы и минуты). На копии описи представленных документов делается отметка о дате и времени представления инициативного проекта с указанием номера.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2.10. 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Инициативный проект подлежит обязательному рассмотрению администрацией Нефтеюганского района в течение 30 дней со дня его внесения.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Инициативный проект подлежит обязательному рассмотрению Комиссией в течение 30 дней со дня его внесения.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2.11. Инициативные проекты в течение трех рабочих дней со дня их внесения в администрацию района направляются Комитетом в адрес отраслевых (функциональных) органов администрации района, курирующих направления деятельности, которым соответствует внесенный инициативный проект.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163B5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2.12. 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Отраслевые (функциональные) органы администрации района, курирующие направления деятельности, которым соответствует внесенный инициативный проект, осуществляют подготовку и направление в адрес Комитета заключения о правомерности, возможности, целесообразности реализации соответствующего инициативного проекта. </w:t>
            </w:r>
          </w:p>
          <w:p w:rsidR="00FD178B" w:rsidRPr="002256EA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(функциональный) орган администрации района, курирующий направления деятельности, которым соответствует внесенный инициативный проект.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163B5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2.10. 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Инициативный проект подлежит обязательному рассмотрению администрацией Нефтеюганского района в течение 30 дней со дня его внесения. </w:t>
            </w:r>
          </w:p>
          <w:p w:rsidR="00FD178B" w:rsidRPr="001163B5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 результатам рассмотрения инициативного проекта принимается одно из следующих решений:</w:t>
            </w:r>
          </w:p>
          <w:p w:rsidR="00FD178B" w:rsidRPr="001163B5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2.10.1.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поддержать инициативный проект и продолжить работу над ним в пределах бюджетных ассигнований, предусмотренных решением о бюджете Нефтеюганского района, на соответствующие цели и (или) в соответствии с порядком составления и рассмотрения проекта бюджета Нефтеюганского района (внесения изменений в решение о бюджете Нефтеюганского района);</w:t>
            </w:r>
          </w:p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2.10.2. 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1163B5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2.13. В случае, если в администрацию района внесено несколько инициативных проектов, уполномоченный орган организует проведение конкурсного отбора и информирует об этом инициатора проекта.</w:t>
            </w:r>
          </w:p>
          <w:p w:rsidR="00FD178B" w:rsidRPr="001163B5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 результатам рассмотрения инициативного проекта принимается одно из следующих решений:</w:t>
            </w:r>
          </w:p>
          <w:p w:rsidR="00FD178B" w:rsidRPr="001163B5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поддержать инициативный проект и продолжить работу над ним в пределах бюджетных ассигнований, предусмотренных решением о бюджете Нефтеюганского района, на соответствующие цели и (или) в соответствии с порядком составления и рассмотрения проекта бюджета Нефтеюганского района (внесения изменений в решение о бюджете Нефтеюганского района);</w:t>
            </w:r>
          </w:p>
          <w:p w:rsidR="00FD178B" w:rsidRPr="001163B5" w:rsidRDefault="00FD178B" w:rsidP="001163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- отказать в поддержке инициативного проекта и вернуть его инициаторам проекта с указанием причин отказа в поддержке инициативного проекта.</w:t>
            </w:r>
          </w:p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Комиссия принимает решение об отказе в поддержке инициативного проекта в одном из следующих случаев: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2.15. Решение об отказе в поддержке инициативного проекта оформляется Протоколом.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Комиссия вправе, в случае, предусмотренном подпунктом 2.14.5 пункта 2.14 настоящего Порядка,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 разделом 3 «</w:t>
            </w:r>
            <w:r w:rsidRPr="00165BD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 разделом 4</w:t>
            </w:r>
            <w:r w:rsidRPr="00165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«Определение территории, в интересах населения на которой могут реализовываться инициативные проекты».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3.1. В случае, если в администрацию Нефтеюганского района внесено несколько инициативных проектов, в том числе с описанием аналогичных по содержанию приоритетных проблем, Управление организует проведение конкурсного отбора и информирует об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инициаторов проекта.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5.1. В случае, если в администрацию Нефтеюганского района внесено несколько инициативных проектов, в том числе с описанием аналогичных по содержанию приоритетных проблем, Комитет организует проведение конкурсного отбора и информиру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 об этом инициаторов проекта.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72572F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3.2. Для организации и проведения конкурсного отбора Управление: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72572F" w:rsidRDefault="00FD178B" w:rsidP="007257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5.2. Для организации и проведения конкурсного отбора Комитет:</w:t>
            </w:r>
          </w:p>
        </w:tc>
      </w:tr>
      <w:tr w:rsidR="00FD178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72572F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3.2.3. </w:t>
            </w: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заседание Комиссии не позднее 15 августа текущего финансового года.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8B" w:rsidRPr="002256EA" w:rsidRDefault="00FD178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5.2.3.</w:t>
            </w: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организует</w:t>
            </w:r>
            <w:r w:rsidR="00170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заседание Комиссии не позднее 3</w:t>
            </w: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0 июня текущего финансового года.</w:t>
            </w:r>
          </w:p>
        </w:tc>
      </w:tr>
    </w:tbl>
    <w:p w:rsidR="001163B5" w:rsidRPr="001163B5" w:rsidRDefault="001163B5" w:rsidP="001163B5"/>
    <w:p w:rsidR="00757CD9" w:rsidRDefault="00984742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471C"/>
    <w:rsid w:val="00006746"/>
    <w:rsid w:val="00017551"/>
    <w:rsid w:val="00026073"/>
    <w:rsid w:val="00055F9E"/>
    <w:rsid w:val="00063EE8"/>
    <w:rsid w:val="000666FD"/>
    <w:rsid w:val="00071F03"/>
    <w:rsid w:val="00091122"/>
    <w:rsid w:val="00091A32"/>
    <w:rsid w:val="00097655"/>
    <w:rsid w:val="000C1A33"/>
    <w:rsid w:val="000E7365"/>
    <w:rsid w:val="001163B5"/>
    <w:rsid w:val="00116C12"/>
    <w:rsid w:val="00143F2D"/>
    <w:rsid w:val="001500DD"/>
    <w:rsid w:val="00150BB3"/>
    <w:rsid w:val="001534E3"/>
    <w:rsid w:val="00165BD0"/>
    <w:rsid w:val="00165C5B"/>
    <w:rsid w:val="00170010"/>
    <w:rsid w:val="00171EC8"/>
    <w:rsid w:val="0017209D"/>
    <w:rsid w:val="001903B1"/>
    <w:rsid w:val="001B70CE"/>
    <w:rsid w:val="001F0333"/>
    <w:rsid w:val="001F47F9"/>
    <w:rsid w:val="00201082"/>
    <w:rsid w:val="002114CC"/>
    <w:rsid w:val="002256EA"/>
    <w:rsid w:val="00250148"/>
    <w:rsid w:val="00250B69"/>
    <w:rsid w:val="00261934"/>
    <w:rsid w:val="00292982"/>
    <w:rsid w:val="002A1D97"/>
    <w:rsid w:val="002A39D0"/>
    <w:rsid w:val="002B7A71"/>
    <w:rsid w:val="002E52C8"/>
    <w:rsid w:val="002F2414"/>
    <w:rsid w:val="0031555A"/>
    <w:rsid w:val="00323386"/>
    <w:rsid w:val="003415E4"/>
    <w:rsid w:val="00355131"/>
    <w:rsid w:val="003B3960"/>
    <w:rsid w:val="003C0B24"/>
    <w:rsid w:val="00435966"/>
    <w:rsid w:val="00440ECF"/>
    <w:rsid w:val="004602CE"/>
    <w:rsid w:val="00477403"/>
    <w:rsid w:val="004A01BD"/>
    <w:rsid w:val="004C4E28"/>
    <w:rsid w:val="004D5904"/>
    <w:rsid w:val="004E15B8"/>
    <w:rsid w:val="004F1BD9"/>
    <w:rsid w:val="004F2C97"/>
    <w:rsid w:val="00520ADF"/>
    <w:rsid w:val="00600CE0"/>
    <w:rsid w:val="006018F4"/>
    <w:rsid w:val="006309CD"/>
    <w:rsid w:val="006A0C06"/>
    <w:rsid w:val="00710292"/>
    <w:rsid w:val="0072572F"/>
    <w:rsid w:val="00740AC7"/>
    <w:rsid w:val="00763AAB"/>
    <w:rsid w:val="00794ACE"/>
    <w:rsid w:val="00794F49"/>
    <w:rsid w:val="007A6C46"/>
    <w:rsid w:val="007A73DB"/>
    <w:rsid w:val="007B4EEB"/>
    <w:rsid w:val="007B6C5E"/>
    <w:rsid w:val="007C0451"/>
    <w:rsid w:val="007C44E0"/>
    <w:rsid w:val="007C602E"/>
    <w:rsid w:val="00807ED3"/>
    <w:rsid w:val="00864D11"/>
    <w:rsid w:val="00871ACA"/>
    <w:rsid w:val="00876114"/>
    <w:rsid w:val="008858F4"/>
    <w:rsid w:val="008B3843"/>
    <w:rsid w:val="008C696A"/>
    <w:rsid w:val="008E4DC7"/>
    <w:rsid w:val="00901C93"/>
    <w:rsid w:val="00923D8E"/>
    <w:rsid w:val="00924AFF"/>
    <w:rsid w:val="00936801"/>
    <w:rsid w:val="00936D8A"/>
    <w:rsid w:val="00960358"/>
    <w:rsid w:val="009677AB"/>
    <w:rsid w:val="00984742"/>
    <w:rsid w:val="009C62EA"/>
    <w:rsid w:val="00A510F8"/>
    <w:rsid w:val="00A56CC8"/>
    <w:rsid w:val="00A774E6"/>
    <w:rsid w:val="00A80613"/>
    <w:rsid w:val="00A83C1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D36BE"/>
    <w:rsid w:val="00BD7243"/>
    <w:rsid w:val="00BE3105"/>
    <w:rsid w:val="00C05701"/>
    <w:rsid w:val="00C3113E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1157D"/>
    <w:rsid w:val="00F2259D"/>
    <w:rsid w:val="00F25AF1"/>
    <w:rsid w:val="00F548F7"/>
    <w:rsid w:val="00F577D7"/>
    <w:rsid w:val="00F87A76"/>
    <w:rsid w:val="00F905B6"/>
    <w:rsid w:val="00FA1280"/>
    <w:rsid w:val="00FB0596"/>
    <w:rsid w:val="00FB2F34"/>
    <w:rsid w:val="00FB471C"/>
    <w:rsid w:val="00FC0FC9"/>
    <w:rsid w:val="00FD1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6365A"/>
  <w15:docId w15:val="{FDF1C4D5-A858-4086-8E70-94AC4D3B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B53B-6D81-494D-AE7A-BF7C00F9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Землянкина Жанна Викторовна</cp:lastModifiedBy>
  <cp:revision>20</cp:revision>
  <cp:lastPrinted>2017-10-18T04:21:00Z</cp:lastPrinted>
  <dcterms:created xsi:type="dcterms:W3CDTF">2017-08-07T07:35:00Z</dcterms:created>
  <dcterms:modified xsi:type="dcterms:W3CDTF">2023-02-08T05:06:00Z</dcterms:modified>
</cp:coreProperties>
</file>