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89114" w14:textId="77777777" w:rsidR="00376E36" w:rsidRPr="00376E36" w:rsidRDefault="00376E36" w:rsidP="00376E36">
      <w:pPr>
        <w:ind w:left="5670"/>
        <w:rPr>
          <w:bCs/>
          <w:color w:val="444444"/>
          <w:sz w:val="26"/>
          <w:szCs w:val="26"/>
        </w:rPr>
      </w:pPr>
      <w:r w:rsidRPr="00376E36">
        <w:rPr>
          <w:bCs/>
          <w:color w:val="444444"/>
          <w:sz w:val="26"/>
          <w:szCs w:val="26"/>
        </w:rPr>
        <w:t>Приложение 2</w:t>
      </w:r>
    </w:p>
    <w:p w14:paraId="36625F5E" w14:textId="77777777" w:rsidR="00376E36" w:rsidRPr="00376E36" w:rsidRDefault="00376E36" w:rsidP="00376E36">
      <w:pPr>
        <w:ind w:left="5670"/>
        <w:rPr>
          <w:bCs/>
          <w:color w:val="444444"/>
          <w:sz w:val="26"/>
          <w:szCs w:val="26"/>
        </w:rPr>
      </w:pPr>
      <w:r w:rsidRPr="00376E36">
        <w:rPr>
          <w:bCs/>
          <w:color w:val="444444"/>
          <w:sz w:val="26"/>
          <w:szCs w:val="26"/>
        </w:rPr>
        <w:t>к постановлению администрации</w:t>
      </w:r>
    </w:p>
    <w:p w14:paraId="76F16E57" w14:textId="77777777" w:rsidR="00376E36" w:rsidRPr="00376E36" w:rsidRDefault="00376E36" w:rsidP="00376E36">
      <w:pPr>
        <w:ind w:left="5670"/>
        <w:rPr>
          <w:bCs/>
          <w:color w:val="444444"/>
          <w:sz w:val="26"/>
          <w:szCs w:val="26"/>
        </w:rPr>
      </w:pPr>
      <w:r w:rsidRPr="00376E36">
        <w:rPr>
          <w:bCs/>
          <w:color w:val="444444"/>
          <w:sz w:val="26"/>
          <w:szCs w:val="26"/>
        </w:rPr>
        <w:t>Нефтеюганского района</w:t>
      </w:r>
    </w:p>
    <w:p w14:paraId="5F83B39D" w14:textId="43F2F7E8" w:rsidR="00376E36" w:rsidRDefault="00376E36" w:rsidP="00376E36">
      <w:pPr>
        <w:ind w:left="5670"/>
        <w:rPr>
          <w:bCs/>
          <w:color w:val="444444"/>
          <w:sz w:val="26"/>
          <w:szCs w:val="26"/>
        </w:rPr>
      </w:pPr>
      <w:r w:rsidRPr="00376E36">
        <w:rPr>
          <w:bCs/>
          <w:color w:val="444444"/>
          <w:sz w:val="26"/>
          <w:szCs w:val="26"/>
        </w:rPr>
        <w:t xml:space="preserve">от </w:t>
      </w:r>
      <w:r w:rsidR="006444A4" w:rsidRPr="006444A4">
        <w:rPr>
          <w:bCs/>
          <w:color w:val="444444"/>
          <w:sz w:val="26"/>
          <w:szCs w:val="26"/>
        </w:rPr>
        <w:t>31.10.2022 № 207</w:t>
      </w:r>
      <w:r w:rsidR="006444A4">
        <w:rPr>
          <w:bCs/>
          <w:color w:val="444444"/>
          <w:sz w:val="26"/>
          <w:szCs w:val="26"/>
        </w:rPr>
        <w:t>1</w:t>
      </w:r>
      <w:bookmarkStart w:id="0" w:name="_GoBack"/>
      <w:bookmarkEnd w:id="0"/>
      <w:r w:rsidR="006444A4" w:rsidRPr="006444A4">
        <w:rPr>
          <w:bCs/>
          <w:color w:val="444444"/>
          <w:sz w:val="26"/>
          <w:szCs w:val="26"/>
        </w:rPr>
        <w:t>-па-нпа</w:t>
      </w:r>
    </w:p>
    <w:p w14:paraId="130A006E" w14:textId="01BF45C5" w:rsidR="00376E36" w:rsidRDefault="00376E36" w:rsidP="00376E36">
      <w:pPr>
        <w:ind w:left="5670"/>
        <w:rPr>
          <w:bCs/>
          <w:color w:val="444444"/>
          <w:sz w:val="26"/>
          <w:szCs w:val="26"/>
        </w:rPr>
      </w:pPr>
    </w:p>
    <w:p w14:paraId="21E446D3" w14:textId="77777777" w:rsidR="00376E36" w:rsidRPr="00376E36" w:rsidRDefault="00376E36" w:rsidP="00376E36">
      <w:pPr>
        <w:ind w:left="5670"/>
        <w:rPr>
          <w:bCs/>
          <w:color w:val="444444"/>
          <w:sz w:val="26"/>
          <w:szCs w:val="26"/>
        </w:rPr>
      </w:pPr>
    </w:p>
    <w:p w14:paraId="5A8E86AB" w14:textId="77777777" w:rsidR="00376E36" w:rsidRPr="00B76285" w:rsidRDefault="00376E36" w:rsidP="00376E36">
      <w:pPr>
        <w:ind w:firstLine="709"/>
        <w:jc w:val="center"/>
        <w:rPr>
          <w:bCs/>
          <w:sz w:val="26"/>
          <w:szCs w:val="26"/>
        </w:rPr>
      </w:pPr>
      <w:r w:rsidRPr="00B76285">
        <w:rPr>
          <w:bCs/>
          <w:sz w:val="26"/>
          <w:szCs w:val="26"/>
        </w:rPr>
        <w:t xml:space="preserve">Методика расчета значений целевых показателей муниципальной программы </w:t>
      </w:r>
    </w:p>
    <w:p w14:paraId="28D138E5" w14:textId="77777777" w:rsidR="00376E36" w:rsidRPr="00B76285" w:rsidRDefault="00376E36" w:rsidP="00376E36">
      <w:pPr>
        <w:ind w:firstLine="709"/>
        <w:jc w:val="center"/>
        <w:rPr>
          <w:sz w:val="26"/>
          <w:szCs w:val="26"/>
        </w:rPr>
      </w:pPr>
      <w:r w:rsidRPr="00B76285">
        <w:rPr>
          <w:bCs/>
          <w:sz w:val="26"/>
          <w:szCs w:val="26"/>
        </w:rPr>
        <w:t xml:space="preserve">Нефтеюганского района </w:t>
      </w:r>
      <w:r w:rsidRPr="00B76285">
        <w:rPr>
          <w:sz w:val="26"/>
          <w:szCs w:val="26"/>
        </w:rPr>
        <w:t>«Управление муниципальными финансами»</w:t>
      </w:r>
    </w:p>
    <w:p w14:paraId="7D807CCF" w14:textId="77777777" w:rsidR="00376E36" w:rsidRPr="00B76285" w:rsidRDefault="00376E36" w:rsidP="00376E36">
      <w:pPr>
        <w:ind w:firstLine="709"/>
        <w:jc w:val="center"/>
        <w:rPr>
          <w:sz w:val="26"/>
          <w:szCs w:val="26"/>
        </w:rPr>
      </w:pPr>
    </w:p>
    <w:p w14:paraId="45410650" w14:textId="77777777" w:rsidR="00376E36" w:rsidRPr="00B76285" w:rsidRDefault="00376E36" w:rsidP="00376E36">
      <w:pPr>
        <w:ind w:firstLine="709"/>
        <w:jc w:val="center"/>
        <w:rPr>
          <w:sz w:val="26"/>
          <w:szCs w:val="26"/>
        </w:rPr>
      </w:pPr>
      <w:r w:rsidRPr="00B76285">
        <w:rPr>
          <w:sz w:val="26"/>
          <w:szCs w:val="26"/>
        </w:rPr>
        <w:t>1.  Общие положения</w:t>
      </w:r>
    </w:p>
    <w:p w14:paraId="6A9C014D" w14:textId="77777777" w:rsidR="00376E36" w:rsidRPr="00B76285" w:rsidRDefault="00376E36" w:rsidP="00376E36">
      <w:pPr>
        <w:ind w:firstLine="709"/>
        <w:jc w:val="center"/>
        <w:rPr>
          <w:bCs/>
          <w:sz w:val="26"/>
          <w:szCs w:val="26"/>
        </w:rPr>
      </w:pPr>
    </w:p>
    <w:p w14:paraId="7DEAE9CB" w14:textId="77777777" w:rsidR="00376E36" w:rsidRPr="00B76285" w:rsidRDefault="00376E36" w:rsidP="00376E36">
      <w:pPr>
        <w:ind w:firstLine="709"/>
        <w:jc w:val="both"/>
        <w:rPr>
          <w:bCs/>
          <w:sz w:val="26"/>
          <w:szCs w:val="26"/>
        </w:rPr>
      </w:pPr>
      <w:r w:rsidRPr="00B76285">
        <w:rPr>
          <w:bCs/>
          <w:sz w:val="26"/>
          <w:szCs w:val="26"/>
        </w:rPr>
        <w:t>Настоящая методика расчета значений целевых показателей муниципальной программы Нефтеюганского района «Управление муниципальными финансами»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</w:t>
      </w:r>
      <w:r w:rsidRPr="00B76285">
        <w:rPr>
          <w:rFonts w:ascii="Calibri" w:hAnsi="Calibri"/>
          <w:sz w:val="26"/>
          <w:szCs w:val="26"/>
          <w:lang w:eastAsia="en-US"/>
        </w:rPr>
        <w:t xml:space="preserve"> </w:t>
      </w:r>
      <w:r w:rsidRPr="00B76285">
        <w:rPr>
          <w:bCs/>
          <w:sz w:val="26"/>
          <w:szCs w:val="26"/>
        </w:rPr>
        <w:t>Нефтеюганского района «Управление муниципальными финансами».</w:t>
      </w:r>
    </w:p>
    <w:p w14:paraId="3818167E" w14:textId="77777777" w:rsidR="00376E36" w:rsidRPr="00B76285" w:rsidRDefault="00376E36" w:rsidP="00376E36">
      <w:pPr>
        <w:ind w:firstLine="709"/>
        <w:jc w:val="both"/>
        <w:rPr>
          <w:bCs/>
          <w:sz w:val="26"/>
          <w:szCs w:val="26"/>
        </w:rPr>
      </w:pPr>
    </w:p>
    <w:p w14:paraId="0F23C275" w14:textId="77777777" w:rsidR="00376E36" w:rsidRPr="00B76285" w:rsidRDefault="00376E36" w:rsidP="00376E36">
      <w:pPr>
        <w:numPr>
          <w:ilvl w:val="0"/>
          <w:numId w:val="1"/>
        </w:numPr>
        <w:ind w:left="0" w:firstLine="709"/>
        <w:contextualSpacing/>
        <w:jc w:val="center"/>
        <w:rPr>
          <w:sz w:val="26"/>
          <w:szCs w:val="26"/>
        </w:rPr>
      </w:pPr>
      <w:r w:rsidRPr="00B76285">
        <w:rPr>
          <w:sz w:val="26"/>
          <w:szCs w:val="26"/>
        </w:rPr>
        <w:t>Порядок расчета значений целевых показателей</w:t>
      </w:r>
    </w:p>
    <w:p w14:paraId="69E7BE72" w14:textId="77777777" w:rsidR="00376E36" w:rsidRDefault="00376E36" w:rsidP="00376E36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</w:p>
    <w:p w14:paraId="7A82013D" w14:textId="1403D5E5" w:rsidR="00376E36" w:rsidRDefault="00376E36" w:rsidP="00376E36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2.1. </w:t>
      </w:r>
      <w:r w:rsidRPr="00B76285">
        <w:rPr>
          <w:bCs/>
          <w:sz w:val="26"/>
          <w:szCs w:val="26"/>
        </w:rPr>
        <w:t xml:space="preserve">Значение целевого показателя </w:t>
      </w:r>
      <w:r>
        <w:rPr>
          <w:bCs/>
          <w:sz w:val="26"/>
          <w:szCs w:val="26"/>
        </w:rPr>
        <w:t>1 (таблица</w:t>
      </w:r>
      <w:r w:rsidRPr="00B76285">
        <w:rPr>
          <w:bCs/>
          <w:sz w:val="26"/>
          <w:szCs w:val="26"/>
        </w:rPr>
        <w:t xml:space="preserve"> 1</w:t>
      </w:r>
      <w:r>
        <w:rPr>
          <w:bCs/>
          <w:sz w:val="26"/>
          <w:szCs w:val="26"/>
        </w:rPr>
        <w:t>)</w:t>
      </w:r>
      <w:r w:rsidRPr="00B76285">
        <w:rPr>
          <w:bCs/>
          <w:sz w:val="26"/>
          <w:szCs w:val="26"/>
        </w:rPr>
        <w:t xml:space="preserve"> «</w:t>
      </w:r>
      <w:r w:rsidRPr="00B76285">
        <w:rPr>
          <w:bCs/>
          <w:iCs/>
          <w:sz w:val="26"/>
          <w:szCs w:val="26"/>
        </w:rPr>
        <w:t xml:space="preserve">Доля налоговых и неналоговых доходов местного бюджета (за исключением поступлений налоговых доходов </w:t>
      </w:r>
      <w:r>
        <w:rPr>
          <w:bCs/>
          <w:iCs/>
          <w:sz w:val="26"/>
          <w:szCs w:val="26"/>
        </w:rPr>
        <w:br/>
      </w:r>
      <w:r w:rsidRPr="00B76285">
        <w:rPr>
          <w:bCs/>
          <w:iCs/>
          <w:sz w:val="26"/>
          <w:szCs w:val="26"/>
        </w:rPr>
        <w:t xml:space="preserve">по дополнительным нормативам отчислений) в общем объёме собственных доходов бюджета муниципального образования (без учёта субвенций), %» </w:t>
      </w:r>
      <w:r w:rsidRPr="00B76285">
        <w:rPr>
          <w:sz w:val="26"/>
          <w:szCs w:val="26"/>
          <w:lang w:eastAsia="en-US"/>
        </w:rPr>
        <w:t xml:space="preserve">рассчитывается </w:t>
      </w:r>
      <w:r>
        <w:rPr>
          <w:sz w:val="26"/>
          <w:szCs w:val="26"/>
          <w:lang w:eastAsia="en-US"/>
        </w:rPr>
        <w:br/>
      </w:r>
      <w:r w:rsidRPr="00B76285">
        <w:rPr>
          <w:sz w:val="26"/>
          <w:szCs w:val="26"/>
          <w:lang w:eastAsia="en-US"/>
        </w:rPr>
        <w:t>по формуле:</w:t>
      </w:r>
    </w:p>
    <w:p w14:paraId="68767B97" w14:textId="77777777" w:rsidR="00376E36" w:rsidRPr="00B76285" w:rsidRDefault="00376E36" w:rsidP="00376E36">
      <w:pPr>
        <w:tabs>
          <w:tab w:val="left" w:pos="1134"/>
        </w:tabs>
        <w:ind w:firstLine="709"/>
        <w:jc w:val="center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val="en-US" w:eastAsia="en-US"/>
        </w:rPr>
        <w:t>D</w:t>
      </w:r>
      <w:r w:rsidRPr="00B76285">
        <w:rPr>
          <w:bCs/>
          <w:iCs/>
          <w:sz w:val="26"/>
          <w:szCs w:val="26"/>
          <w:lang w:eastAsia="en-US"/>
        </w:rPr>
        <w:t>нн = (</w:t>
      </w:r>
      <w:r w:rsidRPr="00B76285">
        <w:rPr>
          <w:bCs/>
          <w:iCs/>
          <w:sz w:val="26"/>
          <w:szCs w:val="26"/>
          <w:lang w:val="en-US" w:eastAsia="en-US"/>
        </w:rPr>
        <w:t>V</w:t>
      </w:r>
      <w:r w:rsidRPr="00B76285">
        <w:rPr>
          <w:bCs/>
          <w:iCs/>
          <w:sz w:val="26"/>
          <w:szCs w:val="26"/>
          <w:lang w:eastAsia="en-US"/>
        </w:rPr>
        <w:t xml:space="preserve">нн – </w:t>
      </w:r>
      <w:r w:rsidRPr="00B76285">
        <w:rPr>
          <w:bCs/>
          <w:iCs/>
          <w:sz w:val="26"/>
          <w:szCs w:val="26"/>
          <w:lang w:val="en-US" w:eastAsia="en-US"/>
        </w:rPr>
        <w:t>V</w:t>
      </w:r>
      <w:r w:rsidRPr="00B76285">
        <w:rPr>
          <w:bCs/>
          <w:iCs/>
          <w:sz w:val="26"/>
          <w:szCs w:val="26"/>
          <w:lang w:eastAsia="en-US"/>
        </w:rPr>
        <w:t>доп.норм) / Дсобств</w:t>
      </w:r>
      <w:r>
        <w:rPr>
          <w:bCs/>
          <w:iCs/>
          <w:sz w:val="26"/>
          <w:szCs w:val="26"/>
          <w:lang w:eastAsia="en-US"/>
        </w:rPr>
        <w:t xml:space="preserve"> х 100</w:t>
      </w:r>
      <w:r w:rsidRPr="00B76285">
        <w:rPr>
          <w:bCs/>
          <w:iCs/>
          <w:sz w:val="26"/>
          <w:szCs w:val="26"/>
          <w:lang w:eastAsia="en-US"/>
        </w:rPr>
        <w:t>, где</w:t>
      </w:r>
    </w:p>
    <w:p w14:paraId="24704891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val="en-US" w:eastAsia="en-US"/>
        </w:rPr>
        <w:t>V</w:t>
      </w:r>
      <w:r w:rsidRPr="00B76285">
        <w:rPr>
          <w:bCs/>
          <w:iCs/>
          <w:sz w:val="26"/>
          <w:szCs w:val="26"/>
          <w:lang w:eastAsia="en-US"/>
        </w:rPr>
        <w:t>нн - объем</w:t>
      </w:r>
      <w:r w:rsidRPr="00B76285">
        <w:rPr>
          <w:rFonts w:ascii="Calibri" w:hAnsi="Calibri"/>
          <w:sz w:val="22"/>
          <w:szCs w:val="22"/>
          <w:lang w:eastAsia="en-US"/>
        </w:rPr>
        <w:t xml:space="preserve"> </w:t>
      </w:r>
      <w:r w:rsidRPr="00B76285">
        <w:rPr>
          <w:bCs/>
          <w:iCs/>
          <w:sz w:val="26"/>
          <w:szCs w:val="26"/>
          <w:lang w:eastAsia="en-US"/>
        </w:rPr>
        <w:t>доходов по коду классификации доходов "Налоговые и неналоговые доходы";</w:t>
      </w:r>
    </w:p>
    <w:p w14:paraId="029CAE0F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val="en-US" w:eastAsia="en-US"/>
        </w:rPr>
        <w:t>V</w:t>
      </w:r>
      <w:r w:rsidRPr="00B76285">
        <w:rPr>
          <w:bCs/>
          <w:iCs/>
          <w:sz w:val="26"/>
          <w:szCs w:val="26"/>
          <w:lang w:eastAsia="en-US"/>
        </w:rPr>
        <w:t>доп.норм - объемов доходов, передаваемых по установленным субъектами Российской Федерации дополнительным нормативам отчислений от налога на доходы физических лиц в местные бюджеты в соответствии с пунктами 2, 3 статьи 58 Бюджетного кодекса Российской Федерации;</w:t>
      </w:r>
    </w:p>
    <w:p w14:paraId="4FCE1E96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Дсобств - собственные доходы бюджета Нефтеюганского района в соответствии со статьей 47 Бюджетного кодекса Российской Федерации.</w:t>
      </w:r>
    </w:p>
    <w:p w14:paraId="31782F9F" w14:textId="77777777" w:rsidR="00376E36" w:rsidRPr="00B76285" w:rsidRDefault="00376E36" w:rsidP="00376E36">
      <w:pPr>
        <w:tabs>
          <w:tab w:val="left" w:pos="1134"/>
        </w:tabs>
        <w:ind w:firstLine="709"/>
        <w:jc w:val="both"/>
        <w:rPr>
          <w:bCs/>
          <w:iCs/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2.2. </w:t>
      </w:r>
      <w:r w:rsidRPr="00B76285">
        <w:rPr>
          <w:bCs/>
          <w:sz w:val="26"/>
          <w:szCs w:val="26"/>
        </w:rPr>
        <w:t xml:space="preserve">Значение целевого показателя </w:t>
      </w:r>
      <w:r>
        <w:rPr>
          <w:bCs/>
          <w:sz w:val="26"/>
          <w:szCs w:val="26"/>
        </w:rPr>
        <w:t>2 (</w:t>
      </w:r>
      <w:r w:rsidRPr="00B76285">
        <w:rPr>
          <w:bCs/>
          <w:sz w:val="26"/>
          <w:szCs w:val="26"/>
        </w:rPr>
        <w:t>таблиц</w:t>
      </w:r>
      <w:r>
        <w:rPr>
          <w:bCs/>
          <w:sz w:val="26"/>
          <w:szCs w:val="26"/>
        </w:rPr>
        <w:t>а</w:t>
      </w:r>
      <w:r w:rsidRPr="00B76285">
        <w:rPr>
          <w:bCs/>
          <w:sz w:val="26"/>
          <w:szCs w:val="26"/>
        </w:rPr>
        <w:t xml:space="preserve"> 1</w:t>
      </w:r>
      <w:r>
        <w:rPr>
          <w:bCs/>
          <w:sz w:val="26"/>
          <w:szCs w:val="26"/>
        </w:rPr>
        <w:t>)</w:t>
      </w:r>
      <w:r w:rsidRPr="00B76285">
        <w:rPr>
          <w:bCs/>
          <w:sz w:val="26"/>
          <w:szCs w:val="26"/>
        </w:rPr>
        <w:t xml:space="preserve"> </w:t>
      </w:r>
      <w:r w:rsidRPr="00B76285">
        <w:rPr>
          <w:bCs/>
          <w:iCs/>
          <w:sz w:val="26"/>
          <w:szCs w:val="26"/>
          <w:lang w:eastAsia="en-US"/>
        </w:rPr>
        <w:t>«Доля городских и сельских поселений, уровень расчетной бюджетной обеспеченности которых после</w:t>
      </w:r>
      <w:r>
        <w:rPr>
          <w:bCs/>
          <w:iCs/>
          <w:sz w:val="26"/>
          <w:szCs w:val="26"/>
          <w:lang w:eastAsia="en-US"/>
        </w:rPr>
        <w:t xml:space="preserve"> </w:t>
      </w:r>
      <w:r w:rsidRPr="00B76285">
        <w:rPr>
          <w:bCs/>
          <w:iCs/>
          <w:sz w:val="26"/>
          <w:szCs w:val="26"/>
          <w:lang w:eastAsia="en-US"/>
        </w:rPr>
        <w:t>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поселений, %» рассчитывается по формуле:</w:t>
      </w:r>
    </w:p>
    <w:p w14:paraId="6AC7AA0C" w14:textId="77777777" w:rsidR="00376E36" w:rsidRPr="00B76285" w:rsidRDefault="00376E36" w:rsidP="00376E36">
      <w:pPr>
        <w:ind w:firstLine="709"/>
        <w:jc w:val="center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БОДj = БОj + ОДj / [(ПННД /Н) х Нj х ИБРj], где:</w:t>
      </w:r>
    </w:p>
    <w:p w14:paraId="08D36C8C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БОДj – уровень расчетной бюджетной обеспеченности муниципальных образований после распределения выравнивающих дотаций;</w:t>
      </w:r>
    </w:p>
    <w:p w14:paraId="31F7F6C6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БОj</w:t>
      </w:r>
      <w:r w:rsidRPr="00B76285">
        <w:rPr>
          <w:bCs/>
          <w:iCs/>
          <w:sz w:val="26"/>
          <w:szCs w:val="26"/>
          <w:lang w:eastAsia="en-US"/>
        </w:rPr>
        <w:tab/>
        <w:t>– уровень расчетной бюджетной обеспеченности j-го муниципального образования до распределения дотаций на выравнивание бюджетной обеспеченности;</w:t>
      </w:r>
    </w:p>
    <w:p w14:paraId="10C2E173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ОДj</w:t>
      </w:r>
      <w:r w:rsidRPr="00B76285">
        <w:rPr>
          <w:bCs/>
          <w:iCs/>
          <w:sz w:val="26"/>
          <w:szCs w:val="26"/>
          <w:lang w:eastAsia="en-US"/>
        </w:rPr>
        <w:tab/>
        <w:t>– общий размер дотации на выравнивание бюджетной обеспеченности муниципальных образований j-му муниципальному образованию;</w:t>
      </w:r>
    </w:p>
    <w:p w14:paraId="1F4FB240" w14:textId="72317374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 xml:space="preserve">ПННД– принимаемый к расчету прогноз (оценка) налоговых и неналоговых </w:t>
      </w:r>
      <w:r>
        <w:rPr>
          <w:bCs/>
          <w:iCs/>
          <w:sz w:val="26"/>
          <w:szCs w:val="26"/>
          <w:lang w:eastAsia="en-US"/>
        </w:rPr>
        <w:br/>
      </w:r>
      <w:r w:rsidRPr="00B76285">
        <w:rPr>
          <w:bCs/>
          <w:iCs/>
          <w:sz w:val="26"/>
          <w:szCs w:val="26"/>
          <w:lang w:eastAsia="en-US"/>
        </w:rPr>
        <w:t xml:space="preserve">(в части неналоговых доходов, возможность учета которых при определении уровня расчетной бюджетной обеспеченности предусмотрена Бюджетным кодексом </w:t>
      </w:r>
      <w:r w:rsidRPr="00B76285">
        <w:rPr>
          <w:bCs/>
          <w:iCs/>
          <w:sz w:val="26"/>
          <w:szCs w:val="26"/>
          <w:lang w:eastAsia="en-US"/>
        </w:rPr>
        <w:lastRenderedPageBreak/>
        <w:t>Российской Федерации) доходов бюджетов соответствующих муниципальных образований на соответствующий финансовый год. Данный прогноз должен совпадать с соответствующим прогнозом, использованным в расчете уровня бюджетной обеспеченности муниципального образования до распределения дотаций;</w:t>
      </w:r>
    </w:p>
    <w:p w14:paraId="4F7600F0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Н</w:t>
      </w:r>
      <w:r w:rsidRPr="00B76285">
        <w:rPr>
          <w:bCs/>
          <w:iCs/>
          <w:sz w:val="26"/>
          <w:szCs w:val="26"/>
          <w:lang w:eastAsia="en-US"/>
        </w:rPr>
        <w:tab/>
        <w:t>– численность постоянного населения соответствующих муниципальных образований;</w:t>
      </w:r>
    </w:p>
    <w:p w14:paraId="7D0EE029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ИБРj</w:t>
      </w:r>
      <w:r w:rsidRPr="00B76285">
        <w:rPr>
          <w:bCs/>
          <w:iCs/>
          <w:sz w:val="26"/>
          <w:szCs w:val="26"/>
          <w:lang w:eastAsia="en-US"/>
        </w:rPr>
        <w:tab/>
        <w:t>– индекс бюджетных расходов j-го муниципального образования;</w:t>
      </w:r>
    </w:p>
    <w:p w14:paraId="3EBA7117" w14:textId="77777777" w:rsidR="00376E36" w:rsidRPr="00B76285" w:rsidRDefault="00376E36" w:rsidP="00376E36">
      <w:pPr>
        <w:ind w:firstLine="709"/>
        <w:jc w:val="both"/>
        <w:rPr>
          <w:bCs/>
          <w:iCs/>
          <w:sz w:val="26"/>
          <w:szCs w:val="26"/>
          <w:lang w:eastAsia="en-US"/>
        </w:rPr>
      </w:pPr>
      <w:r w:rsidRPr="00B76285">
        <w:rPr>
          <w:bCs/>
          <w:iCs/>
          <w:sz w:val="26"/>
          <w:szCs w:val="26"/>
          <w:lang w:eastAsia="en-US"/>
        </w:rPr>
        <w:t>Нj</w:t>
      </w:r>
      <w:r w:rsidRPr="00B76285">
        <w:rPr>
          <w:bCs/>
          <w:iCs/>
          <w:sz w:val="26"/>
          <w:szCs w:val="26"/>
          <w:lang w:eastAsia="en-US"/>
        </w:rPr>
        <w:tab/>
        <w:t>– численность постоянного населения j-го муниципального образования.</w:t>
      </w:r>
    </w:p>
    <w:p w14:paraId="11916449" w14:textId="77777777" w:rsidR="00376E36" w:rsidRPr="00B76285" w:rsidRDefault="00376E36" w:rsidP="00376E3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2.3. </w:t>
      </w:r>
      <w:r w:rsidRPr="00B76285">
        <w:rPr>
          <w:bCs/>
          <w:sz w:val="26"/>
          <w:szCs w:val="26"/>
        </w:rPr>
        <w:t xml:space="preserve">Значение целевого показателя </w:t>
      </w:r>
      <w:r>
        <w:rPr>
          <w:bCs/>
          <w:sz w:val="26"/>
          <w:szCs w:val="26"/>
        </w:rPr>
        <w:t>3 (</w:t>
      </w:r>
      <w:r w:rsidRPr="00B76285">
        <w:rPr>
          <w:bCs/>
          <w:sz w:val="26"/>
          <w:szCs w:val="26"/>
        </w:rPr>
        <w:t>таблиц</w:t>
      </w:r>
      <w:r>
        <w:rPr>
          <w:bCs/>
          <w:sz w:val="26"/>
          <w:szCs w:val="26"/>
        </w:rPr>
        <w:t>а</w:t>
      </w:r>
      <w:r w:rsidRPr="00B76285">
        <w:rPr>
          <w:bCs/>
          <w:sz w:val="26"/>
          <w:szCs w:val="26"/>
        </w:rPr>
        <w:t xml:space="preserve"> 1</w:t>
      </w:r>
      <w:r>
        <w:rPr>
          <w:bCs/>
          <w:sz w:val="26"/>
          <w:szCs w:val="26"/>
        </w:rPr>
        <w:t>)</w:t>
      </w:r>
      <w:r w:rsidRPr="00B76285">
        <w:rPr>
          <w:bCs/>
          <w:sz w:val="26"/>
          <w:szCs w:val="26"/>
        </w:rPr>
        <w:t xml:space="preserve"> «Средняя итоговая оценка качества организации и осуществления бюджетного процесса в поселениях, входящих в состав Нефтеюганского района, баллы» </w:t>
      </w:r>
      <w:r w:rsidRPr="00B76285">
        <w:rPr>
          <w:sz w:val="26"/>
          <w:szCs w:val="26"/>
          <w:lang w:eastAsia="en-US"/>
        </w:rPr>
        <w:t>рассчитывается по формуле:</w:t>
      </w:r>
    </w:p>
    <w:p w14:paraId="11C111B3" w14:textId="77777777" w:rsidR="00376E36" w:rsidRPr="00B76285" w:rsidRDefault="006444A4" w:rsidP="00376E36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>
        <w:rPr>
          <w:position w:val="-28"/>
          <w:sz w:val="26"/>
          <w:szCs w:val="26"/>
        </w:rPr>
        <w:pict w14:anchorId="7D088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35.25pt">
            <v:imagedata r:id="rId5" o:title=""/>
          </v:shape>
        </w:pict>
      </w:r>
      <w:r w:rsidR="00376E36" w:rsidRPr="00B76285">
        <w:rPr>
          <w:sz w:val="26"/>
          <w:szCs w:val="26"/>
        </w:rPr>
        <w:t xml:space="preserve"> , где</w:t>
      </w:r>
    </w:p>
    <w:p w14:paraId="36D0B6F3" w14:textId="77777777" w:rsidR="00376E36" w:rsidRPr="00B76285" w:rsidRDefault="00376E36" w:rsidP="00376E36">
      <w:pPr>
        <w:ind w:firstLine="709"/>
        <w:jc w:val="both"/>
        <w:rPr>
          <w:sz w:val="26"/>
          <w:szCs w:val="26"/>
        </w:rPr>
      </w:pPr>
      <w:r w:rsidRPr="00B76285">
        <w:rPr>
          <w:sz w:val="26"/>
          <w:szCs w:val="26"/>
          <w:lang w:val="en-US"/>
        </w:rPr>
        <w:t>j</w:t>
      </w:r>
      <w:r w:rsidRPr="00B76285">
        <w:rPr>
          <w:sz w:val="26"/>
          <w:szCs w:val="26"/>
        </w:rPr>
        <w:t xml:space="preserve"> – поселение,</w:t>
      </w:r>
    </w:p>
    <w:p w14:paraId="00076797" w14:textId="77777777" w:rsidR="00376E36" w:rsidRPr="00B76285" w:rsidRDefault="00376E36" w:rsidP="00376E36">
      <w:pPr>
        <w:ind w:firstLine="709"/>
        <w:jc w:val="both"/>
        <w:rPr>
          <w:sz w:val="26"/>
          <w:szCs w:val="26"/>
        </w:rPr>
      </w:pPr>
      <w:r w:rsidRPr="00B76285">
        <w:rPr>
          <w:sz w:val="26"/>
          <w:szCs w:val="26"/>
        </w:rPr>
        <w:t>СОК</w:t>
      </w:r>
      <w:r w:rsidRPr="00B76285">
        <w:rPr>
          <w:sz w:val="26"/>
          <w:szCs w:val="26"/>
          <w:lang w:val="en-US"/>
        </w:rPr>
        <w:t>j</w:t>
      </w:r>
      <w:r w:rsidRPr="00B76285">
        <w:rPr>
          <w:sz w:val="26"/>
          <w:szCs w:val="26"/>
        </w:rPr>
        <w:t xml:space="preserve"> – сводная оценка качества для </w:t>
      </w:r>
      <w:r w:rsidRPr="00B76285">
        <w:rPr>
          <w:sz w:val="26"/>
          <w:szCs w:val="26"/>
          <w:lang w:val="en-US"/>
        </w:rPr>
        <w:t>j</w:t>
      </w:r>
      <w:r w:rsidRPr="00B76285">
        <w:rPr>
          <w:sz w:val="26"/>
          <w:szCs w:val="26"/>
        </w:rPr>
        <w:t>-го поселения,</w:t>
      </w:r>
    </w:p>
    <w:p w14:paraId="371DC121" w14:textId="77777777" w:rsidR="00376E36" w:rsidRPr="00B76285" w:rsidRDefault="00376E36" w:rsidP="00376E36">
      <w:pPr>
        <w:ind w:firstLine="709"/>
        <w:jc w:val="both"/>
        <w:rPr>
          <w:sz w:val="26"/>
          <w:szCs w:val="26"/>
        </w:rPr>
      </w:pPr>
      <w:r w:rsidRPr="00B76285">
        <w:rPr>
          <w:sz w:val="26"/>
          <w:szCs w:val="26"/>
          <w:lang w:val="en-US"/>
        </w:rPr>
        <w:t>k</w:t>
      </w:r>
      <w:r w:rsidRPr="00B76285">
        <w:rPr>
          <w:sz w:val="26"/>
          <w:szCs w:val="26"/>
        </w:rPr>
        <w:t xml:space="preserve"> – отдельное направление,</w:t>
      </w:r>
    </w:p>
    <w:p w14:paraId="0B86EE74" w14:textId="6E270AFF" w:rsidR="00376E36" w:rsidRPr="00B76285" w:rsidRDefault="00376E36" w:rsidP="00376E36">
      <w:pPr>
        <w:ind w:firstLine="709"/>
        <w:jc w:val="both"/>
        <w:rPr>
          <w:sz w:val="26"/>
          <w:szCs w:val="26"/>
        </w:rPr>
      </w:pPr>
      <w:r w:rsidRPr="00B76285">
        <w:rPr>
          <w:sz w:val="26"/>
          <w:szCs w:val="26"/>
          <w:lang w:val="en-US"/>
        </w:rPr>
        <w:t>ak</w:t>
      </w:r>
      <w:r w:rsidRPr="00B76285">
        <w:rPr>
          <w:sz w:val="26"/>
          <w:szCs w:val="26"/>
        </w:rPr>
        <w:t xml:space="preserve"> – удельный вес </w:t>
      </w:r>
      <w:r w:rsidRPr="00B76285">
        <w:rPr>
          <w:sz w:val="26"/>
          <w:szCs w:val="26"/>
          <w:lang w:val="en-US"/>
        </w:rPr>
        <w:t>k</w:t>
      </w:r>
      <w:r w:rsidRPr="00B76285">
        <w:rPr>
          <w:sz w:val="26"/>
          <w:szCs w:val="26"/>
        </w:rPr>
        <w:t xml:space="preserve">-го направления в соответствии с перечнем индикаторов </w:t>
      </w:r>
      <w:r>
        <w:rPr>
          <w:sz w:val="26"/>
          <w:szCs w:val="26"/>
        </w:rPr>
        <w:br/>
      </w:r>
      <w:r w:rsidRPr="00B76285">
        <w:rPr>
          <w:sz w:val="26"/>
          <w:szCs w:val="26"/>
        </w:rPr>
        <w:t>для оценки качества в поселениях,</w:t>
      </w:r>
    </w:p>
    <w:p w14:paraId="527682A0" w14:textId="77777777" w:rsidR="00376E36" w:rsidRDefault="00376E36" w:rsidP="00376E36">
      <w:pPr>
        <w:ind w:firstLine="709"/>
        <w:jc w:val="both"/>
        <w:rPr>
          <w:sz w:val="26"/>
          <w:szCs w:val="26"/>
        </w:rPr>
      </w:pPr>
      <w:r w:rsidRPr="00B76285">
        <w:rPr>
          <w:sz w:val="26"/>
          <w:szCs w:val="26"/>
        </w:rPr>
        <w:t>ОН</w:t>
      </w:r>
      <w:r w:rsidRPr="00B76285">
        <w:rPr>
          <w:sz w:val="26"/>
          <w:szCs w:val="26"/>
          <w:lang w:val="en-US"/>
        </w:rPr>
        <w:t>kj</w:t>
      </w:r>
      <w:r w:rsidRPr="00B76285">
        <w:rPr>
          <w:sz w:val="26"/>
          <w:szCs w:val="26"/>
        </w:rPr>
        <w:t xml:space="preserve"> – оценка качества по </w:t>
      </w:r>
      <w:r w:rsidRPr="00B76285">
        <w:rPr>
          <w:sz w:val="26"/>
          <w:szCs w:val="26"/>
          <w:lang w:val="en-US"/>
        </w:rPr>
        <w:t>k</w:t>
      </w:r>
      <w:r w:rsidRPr="00B76285">
        <w:rPr>
          <w:sz w:val="26"/>
          <w:szCs w:val="26"/>
        </w:rPr>
        <w:t xml:space="preserve">-му направлению для </w:t>
      </w:r>
      <w:r w:rsidRPr="00B76285">
        <w:rPr>
          <w:sz w:val="26"/>
          <w:szCs w:val="26"/>
          <w:lang w:val="en-US"/>
        </w:rPr>
        <w:t>j</w:t>
      </w:r>
      <w:r w:rsidRPr="00B76285">
        <w:rPr>
          <w:sz w:val="26"/>
          <w:szCs w:val="26"/>
        </w:rPr>
        <w:t>-го поселения.</w:t>
      </w:r>
    </w:p>
    <w:p w14:paraId="277E0D97" w14:textId="6ADDBB2A" w:rsidR="00376E36" w:rsidRPr="00B76285" w:rsidRDefault="00376E36" w:rsidP="00376E3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Значение целевого показателя 1 </w:t>
      </w:r>
      <w:r w:rsidRPr="00B76285">
        <w:rPr>
          <w:sz w:val="26"/>
          <w:szCs w:val="26"/>
        </w:rPr>
        <w:t>(</w:t>
      </w:r>
      <w:r>
        <w:rPr>
          <w:sz w:val="26"/>
          <w:szCs w:val="26"/>
        </w:rPr>
        <w:t>т</w:t>
      </w:r>
      <w:r w:rsidRPr="00B76285">
        <w:rPr>
          <w:sz w:val="26"/>
          <w:szCs w:val="26"/>
        </w:rPr>
        <w:t>аблиц</w:t>
      </w:r>
      <w:r>
        <w:rPr>
          <w:sz w:val="26"/>
          <w:szCs w:val="26"/>
        </w:rPr>
        <w:t>а</w:t>
      </w:r>
      <w:r w:rsidRPr="00B76285">
        <w:rPr>
          <w:sz w:val="26"/>
          <w:szCs w:val="26"/>
        </w:rPr>
        <w:t xml:space="preserve"> </w:t>
      </w:r>
      <w:r>
        <w:rPr>
          <w:sz w:val="26"/>
          <w:szCs w:val="26"/>
        </w:rPr>
        <w:t>8)</w:t>
      </w:r>
      <w:r w:rsidRPr="00B76285">
        <w:rPr>
          <w:sz w:val="26"/>
          <w:szCs w:val="26"/>
        </w:rPr>
        <w:t xml:space="preserve"> «</w:t>
      </w:r>
      <w:r w:rsidRPr="00B76285">
        <w:rPr>
          <w:bCs/>
          <w:iCs/>
          <w:color w:val="000000"/>
          <w:sz w:val="26"/>
          <w:szCs w:val="26"/>
        </w:rPr>
        <w:t xml:space="preserve">Исполнение обеспечения деятельности департамента финансов Нефтеюганского района, %» </w:t>
      </w:r>
      <w:r w:rsidRPr="00B76285">
        <w:rPr>
          <w:bCs/>
          <w:iCs/>
          <w:sz w:val="26"/>
          <w:szCs w:val="26"/>
        </w:rPr>
        <w:t xml:space="preserve">рассчитывается </w:t>
      </w:r>
      <w:r>
        <w:rPr>
          <w:bCs/>
          <w:iCs/>
          <w:sz w:val="26"/>
          <w:szCs w:val="26"/>
        </w:rPr>
        <w:br/>
      </w:r>
      <w:r w:rsidRPr="00B76285">
        <w:rPr>
          <w:bCs/>
          <w:iCs/>
          <w:sz w:val="26"/>
          <w:szCs w:val="26"/>
        </w:rPr>
        <w:t xml:space="preserve">по формуле: </w:t>
      </w:r>
    </w:p>
    <w:p w14:paraId="29DC2F0D" w14:textId="77777777" w:rsidR="00376E36" w:rsidRPr="00B76285" w:rsidRDefault="00376E36" w:rsidP="00376E36">
      <w:pPr>
        <w:ind w:firstLine="709"/>
        <w:jc w:val="center"/>
        <w:rPr>
          <w:bCs/>
          <w:sz w:val="26"/>
          <w:szCs w:val="26"/>
        </w:rPr>
      </w:pPr>
      <w:r w:rsidRPr="00B76285">
        <w:rPr>
          <w:bCs/>
          <w:sz w:val="26"/>
          <w:szCs w:val="26"/>
        </w:rPr>
        <w:t>Иобеспеч = Ифакт / Иплан х 100, где:</w:t>
      </w:r>
    </w:p>
    <w:p w14:paraId="7F05CD5A" w14:textId="77777777" w:rsidR="00376E36" w:rsidRPr="00B76285" w:rsidRDefault="00376E36" w:rsidP="00376E36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B76285">
        <w:rPr>
          <w:sz w:val="26"/>
          <w:szCs w:val="26"/>
        </w:rPr>
        <w:t xml:space="preserve">Ифакт - </w:t>
      </w:r>
      <w:r w:rsidRPr="00B76285">
        <w:rPr>
          <w:color w:val="000000"/>
          <w:sz w:val="26"/>
          <w:szCs w:val="26"/>
        </w:rPr>
        <w:t>фактическое исполнение бюджетной сметы;</w:t>
      </w:r>
    </w:p>
    <w:p w14:paraId="1CA3E86A" w14:textId="77777777" w:rsidR="00376E36" w:rsidRPr="00B76285" w:rsidRDefault="00376E36" w:rsidP="00376E36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B76285">
        <w:rPr>
          <w:color w:val="000000"/>
          <w:sz w:val="26"/>
          <w:szCs w:val="26"/>
        </w:rPr>
        <w:t xml:space="preserve">Иплан - запланированное исполнение бюджетной сметы по выполнению полномочий и функций департамента финансов Нефтеюганского района. </w:t>
      </w:r>
    </w:p>
    <w:p w14:paraId="5717E194" w14:textId="77777777" w:rsidR="00376E36" w:rsidRPr="00B76285" w:rsidRDefault="00376E36" w:rsidP="00376E36">
      <w:pPr>
        <w:ind w:firstLine="709"/>
        <w:contextualSpacing/>
        <w:jc w:val="both"/>
        <w:rPr>
          <w:sz w:val="26"/>
          <w:szCs w:val="26"/>
        </w:rPr>
      </w:pPr>
      <w:r w:rsidRPr="00B76285">
        <w:rPr>
          <w:color w:val="000000"/>
          <w:sz w:val="26"/>
          <w:szCs w:val="26"/>
        </w:rPr>
        <w:t>Исполнение обеспечения деятельности департамента финансов Нефтеюганского района ежегодно на уровне не менее 95%.</w:t>
      </w:r>
    </w:p>
    <w:p w14:paraId="4A35D803" w14:textId="77777777" w:rsidR="00376E36" w:rsidRPr="00B76285" w:rsidRDefault="00376E36" w:rsidP="00376E36">
      <w:pPr>
        <w:tabs>
          <w:tab w:val="left" w:pos="1134"/>
        </w:tabs>
        <w:ind w:firstLine="709"/>
        <w:jc w:val="both"/>
        <w:rPr>
          <w:bCs/>
          <w:iCs/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2.5. </w:t>
      </w:r>
      <w:r w:rsidRPr="00B76285">
        <w:rPr>
          <w:bCs/>
          <w:sz w:val="26"/>
          <w:szCs w:val="26"/>
        </w:rPr>
        <w:t xml:space="preserve">Значение целевого показателя </w:t>
      </w:r>
      <w:r>
        <w:rPr>
          <w:bCs/>
          <w:sz w:val="26"/>
          <w:szCs w:val="26"/>
        </w:rPr>
        <w:t>2 (таблица 8)</w:t>
      </w:r>
      <w:r w:rsidRPr="00B76285">
        <w:rPr>
          <w:bCs/>
          <w:sz w:val="26"/>
          <w:szCs w:val="26"/>
        </w:rPr>
        <w:t xml:space="preserve"> «</w:t>
      </w:r>
      <w:r w:rsidRPr="00B76285">
        <w:rPr>
          <w:bCs/>
          <w:iCs/>
          <w:sz w:val="26"/>
          <w:szCs w:val="26"/>
          <w:lang w:eastAsia="en-US"/>
        </w:rPr>
        <w:t>Средняя итоговая оценка качества финансового менеджмента главных распорядителей бюджетных средств Нефтеюганского района, баллы» рассчитывается по формуле:</w:t>
      </w:r>
    </w:p>
    <w:p w14:paraId="0EACBE7D" w14:textId="77777777" w:rsidR="00376E36" w:rsidRPr="00840321" w:rsidRDefault="00376E36" w:rsidP="00376E36">
      <w:pPr>
        <w:ind w:firstLine="709"/>
        <w:contextualSpacing/>
        <w:jc w:val="center"/>
        <w:rPr>
          <w:sz w:val="26"/>
          <w:szCs w:val="26"/>
        </w:rPr>
      </w:pPr>
      <w:r w:rsidRPr="00840321">
        <w:rPr>
          <w:sz w:val="26"/>
          <w:szCs w:val="26"/>
        </w:rPr>
        <w:t>Фм = Кф / Ка, где:</w:t>
      </w:r>
      <w:r w:rsidRPr="00840321">
        <w:rPr>
          <w:sz w:val="26"/>
          <w:szCs w:val="26"/>
          <w:lang w:eastAsia="en-US"/>
        </w:rPr>
        <w:t xml:space="preserve"> </w:t>
      </w:r>
    </w:p>
    <w:p w14:paraId="14147B42" w14:textId="77777777" w:rsidR="00376E36" w:rsidRPr="00B76285" w:rsidRDefault="00376E36" w:rsidP="00376E36">
      <w:pPr>
        <w:ind w:firstLine="709"/>
        <w:jc w:val="both"/>
        <w:rPr>
          <w:sz w:val="26"/>
          <w:szCs w:val="26"/>
          <w:lang w:eastAsia="en-US"/>
        </w:rPr>
      </w:pPr>
      <w:r w:rsidRPr="00840321">
        <w:rPr>
          <w:sz w:val="26"/>
          <w:szCs w:val="26"/>
          <w:lang w:eastAsia="en-US"/>
        </w:rPr>
        <w:t>Кф - суммарная оценка качества финансового менеджмента главных распорядителей бюджетных средств Нефтеюганского района;</w:t>
      </w:r>
    </w:p>
    <w:p w14:paraId="70C94F24" w14:textId="77777777" w:rsidR="00376E36" w:rsidRDefault="00376E36" w:rsidP="00376E36">
      <w:pPr>
        <w:ind w:firstLine="709"/>
        <w:jc w:val="both"/>
        <w:rPr>
          <w:color w:val="FF0000"/>
          <w:sz w:val="26"/>
          <w:szCs w:val="26"/>
        </w:rPr>
      </w:pPr>
      <w:r w:rsidRPr="00B76285">
        <w:rPr>
          <w:sz w:val="26"/>
          <w:szCs w:val="26"/>
          <w:lang w:eastAsia="en-US"/>
        </w:rPr>
        <w:t>Ка - количество главных распорядителей бюджетных средств Нефтеюганского района, охваченных мониторингом качества финансового менеджмента.</w:t>
      </w:r>
    </w:p>
    <w:p w14:paraId="5BED01F4" w14:textId="77777777" w:rsidR="003B3C3A" w:rsidRDefault="006444A4" w:rsidP="00376E36">
      <w:pPr>
        <w:ind w:firstLine="709"/>
      </w:pPr>
    </w:p>
    <w:sectPr w:rsidR="003B3C3A" w:rsidSect="00376E36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452D4"/>
    <w:multiLevelType w:val="multilevel"/>
    <w:tmpl w:val="CE90FC6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</w:lvl>
    <w:lvl w:ilvl="3">
      <w:start w:val="1"/>
      <w:numFmt w:val="decimal"/>
      <w:isLgl/>
      <w:lvlText w:val="%1.%2.%3.%4."/>
      <w:lvlJc w:val="left"/>
      <w:pPr>
        <w:ind w:left="1977" w:hanging="1080"/>
      </w:pPr>
    </w:lvl>
    <w:lvl w:ilvl="4">
      <w:start w:val="1"/>
      <w:numFmt w:val="decimal"/>
      <w:isLgl/>
      <w:lvlText w:val="%1.%2.%3.%4.%5."/>
      <w:lvlJc w:val="left"/>
      <w:pPr>
        <w:ind w:left="2156" w:hanging="1080"/>
      </w:pPr>
    </w:lvl>
    <w:lvl w:ilvl="5">
      <w:start w:val="1"/>
      <w:numFmt w:val="decimal"/>
      <w:isLgl/>
      <w:lvlText w:val="%1.%2.%3.%4.%5.%6."/>
      <w:lvlJc w:val="left"/>
      <w:pPr>
        <w:ind w:left="2695" w:hanging="1440"/>
      </w:pPr>
    </w:lvl>
    <w:lvl w:ilvl="6">
      <w:start w:val="1"/>
      <w:numFmt w:val="decimal"/>
      <w:isLgl/>
      <w:lvlText w:val="%1.%2.%3.%4.%5.%6.%7."/>
      <w:lvlJc w:val="left"/>
      <w:pPr>
        <w:ind w:left="2874" w:hanging="1440"/>
      </w:p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8A"/>
    <w:rsid w:val="00000346"/>
    <w:rsid w:val="00011A1F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7D1B"/>
    <w:rsid w:val="000B309B"/>
    <w:rsid w:val="000B6F60"/>
    <w:rsid w:val="000D47E7"/>
    <w:rsid w:val="000D4D83"/>
    <w:rsid w:val="000E4974"/>
    <w:rsid w:val="000F2EBD"/>
    <w:rsid w:val="000F59D0"/>
    <w:rsid w:val="000F6BA1"/>
    <w:rsid w:val="00156136"/>
    <w:rsid w:val="001A1CF5"/>
    <w:rsid w:val="001A589B"/>
    <w:rsid w:val="001E1E96"/>
    <w:rsid w:val="001E40AF"/>
    <w:rsid w:val="001E4A35"/>
    <w:rsid w:val="002113FC"/>
    <w:rsid w:val="002217B0"/>
    <w:rsid w:val="00222349"/>
    <w:rsid w:val="00236D7C"/>
    <w:rsid w:val="0024306F"/>
    <w:rsid w:val="002437E2"/>
    <w:rsid w:val="0024560A"/>
    <w:rsid w:val="00257B46"/>
    <w:rsid w:val="00265B1E"/>
    <w:rsid w:val="00270E15"/>
    <w:rsid w:val="00283497"/>
    <w:rsid w:val="002B191A"/>
    <w:rsid w:val="002C7779"/>
    <w:rsid w:val="002F58B2"/>
    <w:rsid w:val="00307465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76E3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E202A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444A4"/>
    <w:rsid w:val="00655E68"/>
    <w:rsid w:val="00660517"/>
    <w:rsid w:val="00681E1C"/>
    <w:rsid w:val="0068608F"/>
    <w:rsid w:val="006A60AC"/>
    <w:rsid w:val="006B590E"/>
    <w:rsid w:val="006D5581"/>
    <w:rsid w:val="006E0C14"/>
    <w:rsid w:val="006E2C8E"/>
    <w:rsid w:val="006F49C5"/>
    <w:rsid w:val="00703242"/>
    <w:rsid w:val="0070378A"/>
    <w:rsid w:val="0072153B"/>
    <w:rsid w:val="00730578"/>
    <w:rsid w:val="00736D28"/>
    <w:rsid w:val="0074412B"/>
    <w:rsid w:val="00754989"/>
    <w:rsid w:val="00755C3F"/>
    <w:rsid w:val="00760F3C"/>
    <w:rsid w:val="00761EB1"/>
    <w:rsid w:val="00780470"/>
    <w:rsid w:val="0078489E"/>
    <w:rsid w:val="0079798F"/>
    <w:rsid w:val="007A7C2E"/>
    <w:rsid w:val="007B0556"/>
    <w:rsid w:val="007C4B29"/>
    <w:rsid w:val="007C521B"/>
    <w:rsid w:val="007E2349"/>
    <w:rsid w:val="007F31B2"/>
    <w:rsid w:val="007F5582"/>
    <w:rsid w:val="00802FDA"/>
    <w:rsid w:val="008054DD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D624B"/>
    <w:rsid w:val="008E4F7C"/>
    <w:rsid w:val="008E696C"/>
    <w:rsid w:val="008F4338"/>
    <w:rsid w:val="00925863"/>
    <w:rsid w:val="00926AC6"/>
    <w:rsid w:val="00934B1C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4628"/>
    <w:rsid w:val="009C46E0"/>
    <w:rsid w:val="009E5991"/>
    <w:rsid w:val="00A004A7"/>
    <w:rsid w:val="00A16BD5"/>
    <w:rsid w:val="00A40E11"/>
    <w:rsid w:val="00A45FE6"/>
    <w:rsid w:val="00A50E18"/>
    <w:rsid w:val="00A93444"/>
    <w:rsid w:val="00AA3663"/>
    <w:rsid w:val="00AA48DB"/>
    <w:rsid w:val="00AA4EBF"/>
    <w:rsid w:val="00AB0856"/>
    <w:rsid w:val="00AB0B5B"/>
    <w:rsid w:val="00AB5FFB"/>
    <w:rsid w:val="00AC081D"/>
    <w:rsid w:val="00AD5458"/>
    <w:rsid w:val="00AE04BB"/>
    <w:rsid w:val="00AF6879"/>
    <w:rsid w:val="00B06CA2"/>
    <w:rsid w:val="00B11996"/>
    <w:rsid w:val="00B1785B"/>
    <w:rsid w:val="00B20D95"/>
    <w:rsid w:val="00B4317B"/>
    <w:rsid w:val="00B436A0"/>
    <w:rsid w:val="00B525CD"/>
    <w:rsid w:val="00B70CAD"/>
    <w:rsid w:val="00B865D5"/>
    <w:rsid w:val="00BB190E"/>
    <w:rsid w:val="00BB1CCF"/>
    <w:rsid w:val="00BB1EE1"/>
    <w:rsid w:val="00BC6FF7"/>
    <w:rsid w:val="00BC79FB"/>
    <w:rsid w:val="00BD031C"/>
    <w:rsid w:val="00BD4C2C"/>
    <w:rsid w:val="00BF02E6"/>
    <w:rsid w:val="00BF5185"/>
    <w:rsid w:val="00C156B9"/>
    <w:rsid w:val="00C255A5"/>
    <w:rsid w:val="00C261EA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E22B9E"/>
    <w:rsid w:val="00E264A1"/>
    <w:rsid w:val="00E266B8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6B05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F94D"/>
  <w15:chartTrackingRefBased/>
  <w15:docId w15:val="{12412BED-425A-4834-838C-A7BBEABC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Аманалиева Акмоор Айбековна</cp:lastModifiedBy>
  <cp:revision>3</cp:revision>
  <dcterms:created xsi:type="dcterms:W3CDTF">2022-10-26T07:17:00Z</dcterms:created>
  <dcterms:modified xsi:type="dcterms:W3CDTF">2022-10-31T12:26:00Z</dcterms:modified>
</cp:coreProperties>
</file>