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79" w:rsidRPr="003A3318" w:rsidRDefault="005F2C79" w:rsidP="005F2C7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A3318">
        <w:rPr>
          <w:sz w:val="28"/>
          <w:szCs w:val="28"/>
        </w:rPr>
        <w:t xml:space="preserve">Доклад </w:t>
      </w:r>
    </w:p>
    <w:p w:rsidR="00BA6A55" w:rsidRPr="003A3318" w:rsidRDefault="00BA6A55" w:rsidP="00BA6A55">
      <w:pPr>
        <w:tabs>
          <w:tab w:val="left" w:pos="183"/>
          <w:tab w:val="left" w:pos="284"/>
        </w:tabs>
        <w:ind w:left="141"/>
        <w:jc w:val="center"/>
        <w:rPr>
          <w:b/>
          <w:sz w:val="28"/>
          <w:szCs w:val="28"/>
        </w:rPr>
      </w:pPr>
      <w:r w:rsidRPr="003A3318">
        <w:rPr>
          <w:b/>
          <w:sz w:val="28"/>
          <w:szCs w:val="28"/>
        </w:rPr>
        <w:t xml:space="preserve">О проводимой оценке регулирующего воздействия муниципальных нормативных правовых актов, затрагивающих интересы субъектов предпринимательской и инвестиционной деятельности </w:t>
      </w:r>
      <w:r w:rsidR="00E4333B">
        <w:rPr>
          <w:b/>
          <w:sz w:val="28"/>
          <w:szCs w:val="28"/>
        </w:rPr>
        <w:t>за</w:t>
      </w:r>
    </w:p>
    <w:p w:rsidR="005F2C79" w:rsidRPr="003A3318" w:rsidRDefault="005F2C79" w:rsidP="00BA6A55">
      <w:pPr>
        <w:tabs>
          <w:tab w:val="left" w:pos="183"/>
          <w:tab w:val="left" w:pos="284"/>
        </w:tabs>
        <w:ind w:left="14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A3318">
        <w:rPr>
          <w:rFonts w:eastAsia="Calibri"/>
          <w:b/>
          <w:bCs/>
          <w:sz w:val="28"/>
          <w:szCs w:val="28"/>
          <w:lang w:eastAsia="en-US"/>
        </w:rPr>
        <w:t>20</w:t>
      </w:r>
      <w:r w:rsidR="00E47084">
        <w:rPr>
          <w:rFonts w:eastAsia="Calibri"/>
          <w:b/>
          <w:bCs/>
          <w:sz w:val="28"/>
          <w:szCs w:val="28"/>
          <w:lang w:eastAsia="en-US"/>
        </w:rPr>
        <w:t>20</w:t>
      </w:r>
      <w:r w:rsidRPr="003A3318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5F2C79" w:rsidRDefault="005F2C79" w:rsidP="005F2C7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E47084" w:rsidRPr="00F85C49" w:rsidRDefault="00E47084" w:rsidP="00E47084">
      <w:pPr>
        <w:spacing w:line="264" w:lineRule="auto"/>
        <w:ind w:firstLine="567"/>
        <w:jc w:val="both"/>
        <w:rPr>
          <w:rFonts w:eastAsia="Calibri"/>
          <w:sz w:val="28"/>
          <w:szCs w:val="26"/>
        </w:rPr>
      </w:pPr>
      <w:r w:rsidRPr="00F85C49">
        <w:rPr>
          <w:rFonts w:eastAsia="Calibri"/>
          <w:sz w:val="28"/>
          <w:szCs w:val="26"/>
        </w:rPr>
        <w:t xml:space="preserve">По состоянию на </w:t>
      </w:r>
      <w:r w:rsidR="00841425">
        <w:rPr>
          <w:rFonts w:eastAsia="Calibri"/>
          <w:sz w:val="28"/>
          <w:szCs w:val="26"/>
        </w:rPr>
        <w:t>3</w:t>
      </w:r>
      <w:r w:rsidRPr="00F85C49">
        <w:rPr>
          <w:rFonts w:eastAsia="Calibri"/>
          <w:sz w:val="28"/>
          <w:szCs w:val="26"/>
        </w:rPr>
        <w:t>1</w:t>
      </w:r>
      <w:r>
        <w:rPr>
          <w:rFonts w:eastAsia="Calibri"/>
          <w:sz w:val="28"/>
          <w:szCs w:val="26"/>
        </w:rPr>
        <w:t xml:space="preserve"> декабр</w:t>
      </w:r>
      <w:r w:rsidRPr="00F85C49">
        <w:rPr>
          <w:rFonts w:eastAsia="Calibri"/>
          <w:sz w:val="28"/>
          <w:szCs w:val="26"/>
        </w:rPr>
        <w:t xml:space="preserve">я 2020 года в уполномоченный орган в лице комитета по экономической политике и предпринимательству поступило </w:t>
      </w:r>
      <w:r>
        <w:rPr>
          <w:rFonts w:eastAsia="Calibri"/>
          <w:sz w:val="28"/>
          <w:szCs w:val="26"/>
        </w:rPr>
        <w:t>2</w:t>
      </w:r>
      <w:r w:rsidR="00792C41">
        <w:rPr>
          <w:rFonts w:eastAsia="Calibri"/>
          <w:sz w:val="28"/>
          <w:szCs w:val="26"/>
        </w:rPr>
        <w:t>75</w:t>
      </w:r>
      <w:r w:rsidRPr="00100AD9">
        <w:rPr>
          <w:rFonts w:eastAsia="Calibri"/>
          <w:color w:val="FF0000"/>
          <w:sz w:val="28"/>
          <w:szCs w:val="26"/>
        </w:rPr>
        <w:t xml:space="preserve"> </w:t>
      </w:r>
      <w:r w:rsidRPr="00F85C49">
        <w:rPr>
          <w:rFonts w:eastAsia="Calibri"/>
          <w:sz w:val="28"/>
          <w:szCs w:val="26"/>
        </w:rPr>
        <w:t xml:space="preserve">уведомлений о проведении оценки регулирующего воздействия.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47084" w:rsidRPr="00F85C49" w:rsidTr="00841425">
        <w:trPr>
          <w:trHeight w:val="253"/>
        </w:trPr>
        <w:tc>
          <w:tcPr>
            <w:tcW w:w="9464" w:type="dxa"/>
          </w:tcPr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28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Уполномоченным органом в общем количестве выдано </w:t>
            </w:r>
            <w:r>
              <w:rPr>
                <w:sz w:val="28"/>
                <w:szCs w:val="26"/>
              </w:rPr>
              <w:t>2</w:t>
            </w:r>
            <w:r w:rsidR="00792C41">
              <w:rPr>
                <w:sz w:val="28"/>
                <w:szCs w:val="26"/>
              </w:rPr>
              <w:t>9</w:t>
            </w:r>
            <w:r>
              <w:rPr>
                <w:sz w:val="28"/>
                <w:szCs w:val="26"/>
              </w:rPr>
              <w:t>3</w:t>
            </w:r>
            <w:r w:rsidRPr="00F85C49">
              <w:rPr>
                <w:sz w:val="28"/>
                <w:szCs w:val="26"/>
              </w:rPr>
              <w:t xml:space="preserve"> заключений об оценке регулирующего воздействия (далее – ОРВ) по проектам муниципальных нормативных правовых актов (далее – НПА) из них: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28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- </w:t>
            </w:r>
            <w:r>
              <w:rPr>
                <w:sz w:val="28"/>
                <w:szCs w:val="26"/>
              </w:rPr>
              <w:t>2</w:t>
            </w:r>
            <w:r w:rsidR="00792C41">
              <w:rPr>
                <w:sz w:val="28"/>
                <w:szCs w:val="26"/>
              </w:rPr>
              <w:t>75</w:t>
            </w:r>
            <w:r w:rsidRPr="00F85C49">
              <w:rPr>
                <w:sz w:val="28"/>
                <w:szCs w:val="26"/>
              </w:rPr>
              <w:t xml:space="preserve"> заключений о </w:t>
            </w:r>
            <w:proofErr w:type="gramStart"/>
            <w:r w:rsidRPr="00F85C49">
              <w:rPr>
                <w:sz w:val="28"/>
                <w:szCs w:val="26"/>
              </w:rPr>
              <w:t>предварительной</w:t>
            </w:r>
            <w:proofErr w:type="gramEnd"/>
            <w:r w:rsidRPr="00F85C49">
              <w:rPr>
                <w:sz w:val="28"/>
                <w:szCs w:val="26"/>
              </w:rPr>
              <w:t xml:space="preserve"> ОРВ;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28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- </w:t>
            </w:r>
            <w:r w:rsidR="00792C41">
              <w:rPr>
                <w:sz w:val="28"/>
                <w:szCs w:val="26"/>
              </w:rPr>
              <w:t>11</w:t>
            </w:r>
            <w:r w:rsidRPr="00F85C49">
              <w:rPr>
                <w:sz w:val="28"/>
                <w:szCs w:val="26"/>
              </w:rPr>
              <w:t xml:space="preserve"> заключений (об </w:t>
            </w:r>
            <w:proofErr w:type="gramStart"/>
            <w:r w:rsidRPr="00F85C49">
              <w:rPr>
                <w:sz w:val="28"/>
                <w:szCs w:val="26"/>
              </w:rPr>
              <w:t>углубленной</w:t>
            </w:r>
            <w:proofErr w:type="gramEnd"/>
            <w:r w:rsidRPr="00F85C49">
              <w:rPr>
                <w:sz w:val="28"/>
                <w:szCs w:val="26"/>
              </w:rPr>
              <w:t xml:space="preserve"> ОРВ);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28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- </w:t>
            </w:r>
            <w:r w:rsidR="00792C41">
              <w:rPr>
                <w:sz w:val="28"/>
                <w:szCs w:val="26"/>
              </w:rPr>
              <w:t>5</w:t>
            </w:r>
            <w:r w:rsidRPr="00F85C49">
              <w:rPr>
                <w:sz w:val="28"/>
                <w:szCs w:val="26"/>
              </w:rPr>
              <w:t xml:space="preserve"> </w:t>
            </w:r>
            <w:proofErr w:type="gramStart"/>
            <w:r w:rsidRPr="00F85C49">
              <w:rPr>
                <w:sz w:val="28"/>
                <w:szCs w:val="26"/>
              </w:rPr>
              <w:t>экспертных</w:t>
            </w:r>
            <w:proofErr w:type="gramEnd"/>
            <w:r w:rsidRPr="00F85C49">
              <w:rPr>
                <w:sz w:val="28"/>
                <w:szCs w:val="26"/>
              </w:rPr>
              <w:t xml:space="preserve"> заключения (об экспертизе);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28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- </w:t>
            </w:r>
            <w:r>
              <w:rPr>
                <w:sz w:val="28"/>
                <w:szCs w:val="26"/>
              </w:rPr>
              <w:t>2</w:t>
            </w:r>
            <w:r w:rsidRPr="00F85C49">
              <w:rPr>
                <w:sz w:val="28"/>
                <w:szCs w:val="26"/>
              </w:rPr>
              <w:t xml:space="preserve"> экспертное заключение об оценке фактического воздействия.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</w:t>
            </w:r>
            <w:r w:rsidRPr="00F85C49">
              <w:rPr>
                <w:sz w:val="28"/>
                <w:szCs w:val="26"/>
              </w:rPr>
              <w:t xml:space="preserve">бщее количество участников публичных консультаций 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составило </w:t>
            </w:r>
            <w:r w:rsidR="00C27EAC">
              <w:rPr>
                <w:rFonts w:eastAsia="Calibri"/>
                <w:bCs/>
                <w:sz w:val="28"/>
                <w:szCs w:val="26"/>
                <w:lang w:eastAsia="en-US"/>
              </w:rPr>
              <w:t>80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. Поступили </w:t>
            </w:r>
            <w:r w:rsidR="00C27EAC">
              <w:rPr>
                <w:rFonts w:eastAsia="Calibri"/>
                <w:bCs/>
                <w:sz w:val="28"/>
                <w:szCs w:val="26"/>
                <w:lang w:eastAsia="en-US"/>
              </w:rPr>
              <w:t>41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предложени</w:t>
            </w:r>
            <w:r>
              <w:rPr>
                <w:rFonts w:eastAsia="Calibri"/>
                <w:bCs/>
                <w:sz w:val="28"/>
                <w:szCs w:val="26"/>
                <w:lang w:eastAsia="en-US"/>
              </w:rPr>
              <w:t>й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и </w:t>
            </w:r>
            <w:r w:rsidRPr="000D6568">
              <w:rPr>
                <w:rFonts w:eastAsia="Calibri"/>
                <w:bCs/>
                <w:sz w:val="28"/>
                <w:szCs w:val="26"/>
                <w:lang w:eastAsia="en-US"/>
              </w:rPr>
              <w:t>замечаний (</w:t>
            </w:r>
            <w:r w:rsidR="00C27EAC" w:rsidRPr="000D6568">
              <w:rPr>
                <w:rFonts w:eastAsia="Calibri"/>
                <w:bCs/>
                <w:sz w:val="28"/>
                <w:szCs w:val="26"/>
                <w:lang w:eastAsia="en-US"/>
              </w:rPr>
              <w:t>2</w:t>
            </w:r>
            <w:r w:rsidRPr="000D6568">
              <w:rPr>
                <w:rFonts w:eastAsia="Calibri"/>
                <w:bCs/>
                <w:sz w:val="28"/>
                <w:szCs w:val="26"/>
                <w:lang w:eastAsia="en-US"/>
              </w:rPr>
              <w:t xml:space="preserve">0 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из них посредством Портала нормативных актов Югры, что составило </w:t>
            </w:r>
            <w:r w:rsidR="00C27EAC">
              <w:rPr>
                <w:rFonts w:eastAsia="Calibri"/>
                <w:bCs/>
                <w:sz w:val="28"/>
                <w:szCs w:val="26"/>
                <w:lang w:eastAsia="en-US"/>
              </w:rPr>
              <w:t>4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8,8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% при плановом показателе не менее 20 %),</w:t>
            </w:r>
            <w:bookmarkStart w:id="0" w:name="_GoBack"/>
            <w:bookmarkEnd w:id="0"/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</w:t>
            </w:r>
            <w:r w:rsidR="00C27EAC">
              <w:rPr>
                <w:rFonts w:eastAsia="Calibri"/>
                <w:bCs/>
                <w:sz w:val="28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8"/>
                <w:szCs w:val="26"/>
                <w:lang w:eastAsia="en-US"/>
              </w:rPr>
              <w:t>6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из которых</w:t>
            </w:r>
            <w:r w:rsidRPr="00F85C49">
              <w:rPr>
                <w:sz w:val="28"/>
                <w:szCs w:val="26"/>
              </w:rPr>
              <w:t xml:space="preserve"> учтены в МНПА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>, по остальным предложениям даны разъяснения</w:t>
            </w:r>
            <w:r w:rsidRPr="00F85C49">
              <w:rPr>
                <w:sz w:val="28"/>
                <w:szCs w:val="26"/>
              </w:rPr>
              <w:t>: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Cs w:val="20"/>
              </w:rPr>
            </w:pPr>
            <w:proofErr w:type="gramStart"/>
            <w:r w:rsidRPr="00F85C49">
              <w:rPr>
                <w:sz w:val="28"/>
                <w:szCs w:val="26"/>
              </w:rPr>
              <w:t xml:space="preserve">- по </w:t>
            </w:r>
            <w:r w:rsidR="000D6568">
              <w:rPr>
                <w:sz w:val="28"/>
                <w:szCs w:val="26"/>
              </w:rPr>
              <w:t xml:space="preserve">7 </w:t>
            </w:r>
            <w:r w:rsidRPr="00F85C49">
              <w:rPr>
                <w:sz w:val="28"/>
                <w:szCs w:val="26"/>
              </w:rPr>
              <w:t xml:space="preserve">проектам НПА предложения учтены и внесены изменения в проекты НПА </w:t>
            </w:r>
            <w:r w:rsidRPr="00F85C49">
              <w:rPr>
                <w:szCs w:val="20"/>
              </w:rPr>
              <w:t xml:space="preserve">(проект постановления администрации Нефтеюганского района «О внесении изменений в постановление администрации Нефтеюганского района от 11.05.2017 № 747-па-нпа «Об утверждении Порядка предоставления субсидий на возмещение недополученных доходов и (или) возмещение затрат в связи с оказанием услуги по теплоснабжению на территории Нефтеюганского района»; </w:t>
            </w:r>
            <w:proofErr w:type="gramEnd"/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Cs w:val="20"/>
              </w:rPr>
            </w:pPr>
            <w:r w:rsidRPr="00F85C49">
              <w:rPr>
                <w:szCs w:val="20"/>
              </w:rPr>
              <w:t xml:space="preserve">проект постановления администрации Нефтеюганского района «О внесении изменений в постановление администрации Нефтеюганского района от 24.04.2015 </w:t>
            </w:r>
            <w:r>
              <w:rPr>
                <w:szCs w:val="20"/>
              </w:rPr>
              <w:t xml:space="preserve">           </w:t>
            </w:r>
            <w:r w:rsidRPr="00F85C49">
              <w:rPr>
                <w:szCs w:val="20"/>
              </w:rPr>
              <w:t>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района»;</w:t>
            </w:r>
          </w:p>
          <w:p w:rsidR="00E47084" w:rsidRDefault="00E47084" w:rsidP="00841425">
            <w:pPr>
              <w:spacing w:line="264" w:lineRule="auto"/>
              <w:ind w:firstLine="567"/>
              <w:jc w:val="both"/>
              <w:rPr>
                <w:szCs w:val="20"/>
              </w:rPr>
            </w:pPr>
            <w:r w:rsidRPr="00F85C49">
              <w:rPr>
                <w:szCs w:val="20"/>
              </w:rPr>
              <w:t xml:space="preserve">проект постановления администрации Нефтеюганского района «О внесении изменений в постановление администрации Нефтеюганского района от 17.05.2019 </w:t>
            </w:r>
            <w:r>
              <w:rPr>
                <w:szCs w:val="20"/>
              </w:rPr>
              <w:t xml:space="preserve">         </w:t>
            </w:r>
            <w:r w:rsidRPr="00F85C49">
              <w:rPr>
                <w:szCs w:val="20"/>
              </w:rPr>
              <w:t>№ 1061-па-нпа «О порядке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проживающих на территории Нефтеюганского района»</w:t>
            </w:r>
            <w:r>
              <w:rPr>
                <w:szCs w:val="20"/>
              </w:rPr>
              <w:t>;</w:t>
            </w:r>
          </w:p>
          <w:p w:rsidR="00E47084" w:rsidRDefault="00E47084" w:rsidP="00841425">
            <w:pPr>
              <w:spacing w:line="264" w:lineRule="auto"/>
              <w:ind w:firstLine="567"/>
              <w:jc w:val="both"/>
              <w:rPr>
                <w:szCs w:val="20"/>
              </w:rPr>
            </w:pPr>
            <w:r w:rsidRPr="008E6033">
              <w:rPr>
                <w:szCs w:val="20"/>
              </w:rPr>
              <w:t xml:space="preserve">проект постановления администрации Нефтеюганского района «Об утверждении порядка предоставления в 2020 году субсидий, связанных с предоставлением неотложных мер поддержки субъектам малого и среднего предпринимательства Нефтеюганского района, осуществляющим деятельность в отраслях, пострадавших от распространения новой </w:t>
            </w:r>
            <w:proofErr w:type="spellStart"/>
            <w:r w:rsidRPr="008E6033">
              <w:rPr>
                <w:szCs w:val="20"/>
              </w:rPr>
              <w:t>коронавирусной</w:t>
            </w:r>
            <w:proofErr w:type="spellEnd"/>
            <w:r w:rsidRPr="008E6033">
              <w:rPr>
                <w:szCs w:val="20"/>
              </w:rPr>
              <w:t xml:space="preserve"> инфекции»</w:t>
            </w:r>
            <w:r>
              <w:rPr>
                <w:szCs w:val="20"/>
              </w:rPr>
              <w:t>;</w:t>
            </w:r>
          </w:p>
          <w:p w:rsidR="00792C41" w:rsidRDefault="00E47084" w:rsidP="00841425">
            <w:pPr>
              <w:spacing w:line="264" w:lineRule="auto"/>
              <w:ind w:firstLine="567"/>
              <w:jc w:val="both"/>
              <w:rPr>
                <w:szCs w:val="20"/>
              </w:rPr>
            </w:pPr>
            <w:r w:rsidRPr="008E6033">
              <w:rPr>
                <w:szCs w:val="20"/>
              </w:rPr>
              <w:t xml:space="preserve">проект постановления администрации Нефтеюганского района «Об утверждении порядка предоставления субсидии из бюджета Нефтеюганского района юридическим </w:t>
            </w:r>
            <w:r w:rsidRPr="008E6033">
              <w:rPr>
                <w:szCs w:val="20"/>
              </w:rPr>
              <w:lastRenderedPageBreak/>
              <w:t>лицам (за исключением субсидий государственным (муниципальным) учреждениям), осуществляющим услуги в сфере теплоснабжения, в целях финансового обеспечения затрат, связанных с приобретением топлива для обеспечения источников тепловой энергии, расположенных на территории Нефтеюганского района, неснижаемым нормативным запасом топлива»</w:t>
            </w:r>
            <w:r w:rsidR="00792C41">
              <w:rPr>
                <w:szCs w:val="20"/>
              </w:rPr>
              <w:t>;</w:t>
            </w:r>
          </w:p>
          <w:p w:rsidR="000D6568" w:rsidRDefault="000D6568" w:rsidP="00841425">
            <w:pPr>
              <w:spacing w:line="264" w:lineRule="auto"/>
              <w:ind w:firstLine="567"/>
              <w:jc w:val="both"/>
              <w:rPr>
                <w:szCs w:val="20"/>
              </w:rPr>
            </w:pPr>
            <w:r w:rsidRPr="000D6568">
              <w:rPr>
                <w:szCs w:val="20"/>
              </w:rPr>
              <w:t>проект решения Думы Нефтеюганского района «О внесении изменений в решение Думы Нефтеюганского района от 16.11.2012 № 294 «Об утверждении Порядка предоставления муниципальных гарантий Нефтеюганского района»</w:t>
            </w:r>
            <w:r>
              <w:rPr>
                <w:szCs w:val="20"/>
              </w:rPr>
              <w:t>;</w:t>
            </w:r>
          </w:p>
          <w:p w:rsidR="00E47084" w:rsidRPr="00F85C49" w:rsidRDefault="00792C41" w:rsidP="00841425">
            <w:pPr>
              <w:spacing w:line="264" w:lineRule="auto"/>
              <w:ind w:firstLine="567"/>
              <w:jc w:val="both"/>
              <w:rPr>
                <w:sz w:val="32"/>
                <w:szCs w:val="26"/>
              </w:rPr>
            </w:pPr>
            <w:r w:rsidRPr="00792C41">
              <w:rPr>
                <w:szCs w:val="20"/>
              </w:rPr>
              <w:t>проект постановления администрации Нефтеюганского района «Об утверждении Порядков предоставления субсидий сельскохозяйственным товаропроизводителем из бюджета Нефтеюганского района за счет субвенций из бюджета Ханты-Мансийского автономного округа - Югры»</w:t>
            </w:r>
            <w:r w:rsidR="00E47084" w:rsidRPr="00F85C49">
              <w:rPr>
                <w:szCs w:val="20"/>
              </w:rPr>
              <w:t>)</w:t>
            </w:r>
            <w:r w:rsidR="00E47084" w:rsidRPr="00F85C49">
              <w:rPr>
                <w:sz w:val="32"/>
                <w:szCs w:val="26"/>
              </w:rPr>
              <w:t>;</w:t>
            </w:r>
          </w:p>
          <w:p w:rsidR="00E47084" w:rsidRPr="00F85C49" w:rsidRDefault="00E47084" w:rsidP="00841425">
            <w:pPr>
              <w:spacing w:line="264" w:lineRule="auto"/>
              <w:ind w:firstLine="567"/>
              <w:jc w:val="both"/>
              <w:rPr>
                <w:sz w:val="32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- по 1 проекту НПА даны разъяснения в соответствии с действующим законодательством </w:t>
            </w:r>
            <w:r w:rsidRPr="00F85C49">
              <w:rPr>
                <w:szCs w:val="20"/>
              </w:rPr>
              <w:t xml:space="preserve">(проект постановления администрации Нефтеюганского района «Об утверждении порядка организации и осуществления муниципального </w:t>
            </w:r>
            <w:proofErr w:type="gramStart"/>
            <w:r w:rsidRPr="00F85C49">
              <w:rPr>
                <w:szCs w:val="20"/>
              </w:rPr>
              <w:t>контроля за</w:t>
            </w:r>
            <w:proofErr w:type="gramEnd"/>
            <w:r w:rsidRPr="00F85C49">
              <w:rPr>
                <w:szCs w:val="20"/>
              </w:rPr>
              <w:t xml:space="preserve"> соблюдением Правил благоустройства на межселенной территории Нефтеюганского района»)</w:t>
            </w:r>
            <w:r w:rsidRPr="00F85C49">
              <w:rPr>
                <w:sz w:val="32"/>
                <w:szCs w:val="26"/>
              </w:rPr>
              <w:t>.</w:t>
            </w:r>
          </w:p>
          <w:p w:rsidR="00E47084" w:rsidRPr="00F85C49" w:rsidRDefault="00E47084" w:rsidP="00841425">
            <w:pPr>
              <w:spacing w:line="264" w:lineRule="auto"/>
              <w:ind w:firstLine="709"/>
              <w:jc w:val="both"/>
              <w:rPr>
                <w:sz w:val="28"/>
                <w:szCs w:val="26"/>
              </w:rPr>
            </w:pP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>В соответствии с распоряжением администрации Нефтеюганского района от 14.01.2020 № 9-ра «Об утверждении плана проведения экспертизы принятых муниципальных нормативных правовых актов Нефтеюганского района, затрагивающих вопросы осуществления предпринимательской и инвестиционной деятельности, на 2020 год» в 2020 году предусмотрено проведение экспертизы 4</w:t>
            </w:r>
            <w:r w:rsidRPr="00F85C49">
              <w:rPr>
                <w:rFonts w:eastAsia="Calibri"/>
                <w:bCs/>
                <w:color w:val="FF0000"/>
                <w:sz w:val="28"/>
                <w:szCs w:val="26"/>
                <w:lang w:eastAsia="en-US"/>
              </w:rPr>
              <w:t xml:space="preserve"> 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МНПА. Проведена экспертиза по 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4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проектам МНПА, выдано 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4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</w:t>
            </w:r>
            <w:proofErr w:type="gramStart"/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>экспертных</w:t>
            </w:r>
            <w:proofErr w:type="gramEnd"/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заключения</w:t>
            </w:r>
            <w:r w:rsidRPr="00F85C49">
              <w:rPr>
                <w:sz w:val="28"/>
                <w:szCs w:val="26"/>
              </w:rPr>
              <w:t xml:space="preserve"> о наличии достаточного обоснования действующего способа регулирования.</w:t>
            </w:r>
          </w:p>
          <w:p w:rsidR="00E47084" w:rsidRPr="00F85C49" w:rsidRDefault="00E47084" w:rsidP="00841425">
            <w:pPr>
              <w:spacing w:line="264" w:lineRule="auto"/>
              <w:ind w:firstLine="709"/>
              <w:jc w:val="both"/>
              <w:rPr>
                <w:rFonts w:eastAsia="Calibri"/>
                <w:bCs/>
                <w:sz w:val="28"/>
                <w:szCs w:val="26"/>
                <w:lang w:eastAsia="en-US"/>
              </w:rPr>
            </w:pPr>
            <w:r w:rsidRPr="00F85C49">
              <w:rPr>
                <w:rFonts w:eastAsia="Calibri"/>
                <w:bCs/>
                <w:color w:val="000000" w:themeColor="text1"/>
                <w:sz w:val="28"/>
                <w:szCs w:val="26"/>
                <w:lang w:eastAsia="en-US"/>
              </w:rPr>
              <w:t xml:space="preserve">В соответствии с распоряжением администрации Нефтеюганского района от 14.01.2020 № 8-ра «Об утверждении </w:t>
            </w:r>
            <w:proofErr w:type="gramStart"/>
            <w:r w:rsidRPr="00F85C49">
              <w:rPr>
                <w:rFonts w:eastAsia="Calibri"/>
                <w:bCs/>
                <w:color w:val="000000" w:themeColor="text1"/>
                <w:sz w:val="28"/>
                <w:szCs w:val="26"/>
                <w:lang w:eastAsia="en-US"/>
              </w:rPr>
              <w:t>плана проведения оценки фактического воздействия муниципальных нормативных правовых актов</w:t>
            </w:r>
            <w:proofErr w:type="gramEnd"/>
            <w:r w:rsidRPr="00F85C49">
              <w:rPr>
                <w:rFonts w:eastAsia="Calibri"/>
                <w:bCs/>
                <w:color w:val="000000" w:themeColor="text1"/>
                <w:sz w:val="28"/>
                <w:szCs w:val="26"/>
                <w:lang w:eastAsia="en-US"/>
              </w:rPr>
              <w:t xml:space="preserve"> Нефтеюганского района на 2020 год в 2020 году предусмотрено проведение по 4 МНПА. 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Проведена экспертиза по 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2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МНПА. Выдано 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2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</w:t>
            </w:r>
            <w:proofErr w:type="gramStart"/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>экспертн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ых</w:t>
            </w:r>
            <w:proofErr w:type="gramEnd"/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заключени</w:t>
            </w:r>
            <w:r w:rsidR="000D6568">
              <w:rPr>
                <w:rFonts w:eastAsia="Calibri"/>
                <w:bCs/>
                <w:sz w:val="28"/>
                <w:szCs w:val="26"/>
                <w:lang w:eastAsia="en-US"/>
              </w:rPr>
              <w:t>я</w:t>
            </w:r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 об ОФВ. </w:t>
            </w:r>
          </w:p>
          <w:p w:rsidR="00E47084" w:rsidRPr="00F85C49" w:rsidRDefault="00E47084" w:rsidP="00841425">
            <w:pPr>
              <w:spacing w:line="264" w:lineRule="auto"/>
              <w:ind w:firstLine="709"/>
              <w:jc w:val="both"/>
              <w:rPr>
                <w:sz w:val="28"/>
                <w:szCs w:val="26"/>
              </w:rPr>
            </w:pPr>
            <w:r w:rsidRPr="00F85C49">
              <w:rPr>
                <w:sz w:val="28"/>
                <w:szCs w:val="26"/>
              </w:rPr>
              <w:t xml:space="preserve">В целях сотрудничества при проведении ОРВ, в том числе участия в публичных консультациях </w:t>
            </w:r>
            <w:r>
              <w:rPr>
                <w:sz w:val="28"/>
                <w:szCs w:val="26"/>
              </w:rPr>
              <w:t xml:space="preserve">в 2020 году </w:t>
            </w:r>
            <w:r w:rsidRPr="00F85C49">
              <w:rPr>
                <w:sz w:val="28"/>
                <w:szCs w:val="26"/>
              </w:rPr>
              <w:t>заключено соглашение с Ханты-Мансийским региональным отделением Общероссийской общественной организации «Деловая Россия»</w:t>
            </w:r>
            <w:r>
              <w:rPr>
                <w:sz w:val="28"/>
                <w:szCs w:val="26"/>
              </w:rPr>
              <w:t xml:space="preserve"> (всего заключены 6 соглашений)</w:t>
            </w:r>
            <w:r w:rsidRPr="00F85C49">
              <w:rPr>
                <w:sz w:val="28"/>
                <w:szCs w:val="26"/>
              </w:rPr>
              <w:t>, которые уже принимают активное участие в обсуждении проектов МНПА.</w:t>
            </w:r>
          </w:p>
          <w:p w:rsidR="00E47084" w:rsidRPr="00FB686B" w:rsidRDefault="00E47084" w:rsidP="00841425">
            <w:pPr>
              <w:spacing w:line="264" w:lineRule="auto"/>
              <w:ind w:firstLine="709"/>
              <w:jc w:val="both"/>
              <w:rPr>
                <w:sz w:val="28"/>
                <w:szCs w:val="26"/>
              </w:rPr>
            </w:pPr>
            <w:proofErr w:type="gramStart"/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17.03.2020 администрацией Нефтеюганского района проведен обучающей семинар «О размещении информации на окружном интернет портале для публичного обсуждения проектов и действующих нормативных актов по оценке регулирующего воздействия» </w:t>
            </w:r>
            <w:hyperlink r:id="rId6" w:history="1">
              <w:r w:rsidRPr="00F85C49">
                <w:rPr>
                  <w:rStyle w:val="a6"/>
                  <w:rFonts w:eastAsia="Calibri"/>
                  <w:bCs/>
                  <w:sz w:val="28"/>
                  <w:szCs w:val="26"/>
                  <w:lang w:eastAsia="en-US"/>
                </w:rPr>
                <w:t>http://www.admoil.ru/npa/orv/meropriyatiya/protokoly/seminar-17.03.2020.pdf</w:t>
              </w:r>
            </w:hyperlink>
            <w:r w:rsidRPr="00F85C49">
              <w:rPr>
                <w:rFonts w:eastAsia="Calibri"/>
                <w:bCs/>
                <w:sz w:val="28"/>
                <w:szCs w:val="26"/>
                <w:lang w:eastAsia="en-US"/>
              </w:rPr>
              <w:t xml:space="preserve">. </w:t>
            </w:r>
            <w:proofErr w:type="gramEnd"/>
          </w:p>
        </w:tc>
      </w:tr>
    </w:tbl>
    <w:p w:rsidR="00E47084" w:rsidRDefault="00E47084" w:rsidP="005F2C7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sectPr w:rsidR="00E47084" w:rsidSect="000B1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28A"/>
    <w:multiLevelType w:val="hybridMultilevel"/>
    <w:tmpl w:val="208C0E64"/>
    <w:lvl w:ilvl="0" w:tplc="AA68C3E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17A"/>
    <w:multiLevelType w:val="hybridMultilevel"/>
    <w:tmpl w:val="208C0E64"/>
    <w:lvl w:ilvl="0" w:tplc="AA68C3E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D"/>
    <w:rsid w:val="0000135F"/>
    <w:rsid w:val="00025022"/>
    <w:rsid w:val="0003163E"/>
    <w:rsid w:val="00033235"/>
    <w:rsid w:val="000A33F8"/>
    <w:rsid w:val="000B1E55"/>
    <w:rsid w:val="000C31B0"/>
    <w:rsid w:val="000D0576"/>
    <w:rsid w:val="000D6568"/>
    <w:rsid w:val="000D6E3F"/>
    <w:rsid w:val="000E39B9"/>
    <w:rsid w:val="000F760A"/>
    <w:rsid w:val="001056F2"/>
    <w:rsid w:val="0011293C"/>
    <w:rsid w:val="001171A0"/>
    <w:rsid w:val="001501B6"/>
    <w:rsid w:val="001C0B96"/>
    <w:rsid w:val="001E08C6"/>
    <w:rsid w:val="001F3C9A"/>
    <w:rsid w:val="00267413"/>
    <w:rsid w:val="002834D4"/>
    <w:rsid w:val="002B3623"/>
    <w:rsid w:val="002F0DE4"/>
    <w:rsid w:val="0035054C"/>
    <w:rsid w:val="003A3318"/>
    <w:rsid w:val="004137C9"/>
    <w:rsid w:val="00446D2A"/>
    <w:rsid w:val="004677A6"/>
    <w:rsid w:val="00490F86"/>
    <w:rsid w:val="004B450A"/>
    <w:rsid w:val="004C311B"/>
    <w:rsid w:val="005307AC"/>
    <w:rsid w:val="0055200A"/>
    <w:rsid w:val="00557680"/>
    <w:rsid w:val="00582FFF"/>
    <w:rsid w:val="005A6899"/>
    <w:rsid w:val="005B12D1"/>
    <w:rsid w:val="005E19FF"/>
    <w:rsid w:val="005F2C79"/>
    <w:rsid w:val="006035B2"/>
    <w:rsid w:val="00607F9A"/>
    <w:rsid w:val="00615709"/>
    <w:rsid w:val="00661CC4"/>
    <w:rsid w:val="006628FB"/>
    <w:rsid w:val="00680076"/>
    <w:rsid w:val="006A36C8"/>
    <w:rsid w:val="006B060E"/>
    <w:rsid w:val="006B4843"/>
    <w:rsid w:val="006D781D"/>
    <w:rsid w:val="006F5782"/>
    <w:rsid w:val="007142FC"/>
    <w:rsid w:val="00752E99"/>
    <w:rsid w:val="00754EC5"/>
    <w:rsid w:val="007829BC"/>
    <w:rsid w:val="00792C41"/>
    <w:rsid w:val="007F4050"/>
    <w:rsid w:val="007F7D43"/>
    <w:rsid w:val="00841425"/>
    <w:rsid w:val="008473A3"/>
    <w:rsid w:val="00874E69"/>
    <w:rsid w:val="009003DD"/>
    <w:rsid w:val="0091084B"/>
    <w:rsid w:val="009526B5"/>
    <w:rsid w:val="009815E7"/>
    <w:rsid w:val="009C02DF"/>
    <w:rsid w:val="009C2FA5"/>
    <w:rsid w:val="00A061ED"/>
    <w:rsid w:val="00A0642B"/>
    <w:rsid w:val="00A81979"/>
    <w:rsid w:val="00A92F43"/>
    <w:rsid w:val="00AE4370"/>
    <w:rsid w:val="00B11B65"/>
    <w:rsid w:val="00BA6A55"/>
    <w:rsid w:val="00BC479A"/>
    <w:rsid w:val="00C15D14"/>
    <w:rsid w:val="00C27EAC"/>
    <w:rsid w:val="00C30CF8"/>
    <w:rsid w:val="00C446DD"/>
    <w:rsid w:val="00C46DC6"/>
    <w:rsid w:val="00C64E9E"/>
    <w:rsid w:val="00C801F2"/>
    <w:rsid w:val="00C824A1"/>
    <w:rsid w:val="00CC56EE"/>
    <w:rsid w:val="00CD45BF"/>
    <w:rsid w:val="00CE42E0"/>
    <w:rsid w:val="00CF20B2"/>
    <w:rsid w:val="00D10F17"/>
    <w:rsid w:val="00D136BD"/>
    <w:rsid w:val="00D86F22"/>
    <w:rsid w:val="00DC55A2"/>
    <w:rsid w:val="00DE0669"/>
    <w:rsid w:val="00DF12BA"/>
    <w:rsid w:val="00DF4D7C"/>
    <w:rsid w:val="00E049D9"/>
    <w:rsid w:val="00E04F53"/>
    <w:rsid w:val="00E22C56"/>
    <w:rsid w:val="00E4333B"/>
    <w:rsid w:val="00E47084"/>
    <w:rsid w:val="00E61018"/>
    <w:rsid w:val="00EC09FD"/>
    <w:rsid w:val="00EC6775"/>
    <w:rsid w:val="00EC6F54"/>
    <w:rsid w:val="00ED5961"/>
    <w:rsid w:val="00EF7DB7"/>
    <w:rsid w:val="00F4613A"/>
    <w:rsid w:val="00F46C3B"/>
    <w:rsid w:val="00F744A5"/>
    <w:rsid w:val="00F7733E"/>
    <w:rsid w:val="00F825F0"/>
    <w:rsid w:val="00F91CBF"/>
    <w:rsid w:val="00FC65B8"/>
    <w:rsid w:val="00FF28D4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5"/>
    <w:pPr>
      <w:spacing w:before="100" w:beforeAutospacing="1" w:after="100" w:afterAutospacing="1" w:line="245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7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47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084"/>
    <w:pPr>
      <w:widowControl w:val="0"/>
      <w:shd w:val="clear" w:color="auto" w:fill="FFFFFF"/>
      <w:spacing w:before="420" w:line="324" w:lineRule="exact"/>
      <w:ind w:hanging="740"/>
      <w:jc w:val="both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E47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5"/>
    <w:pPr>
      <w:spacing w:before="100" w:beforeAutospacing="1" w:after="100" w:afterAutospacing="1" w:line="245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7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47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084"/>
    <w:pPr>
      <w:widowControl w:val="0"/>
      <w:shd w:val="clear" w:color="auto" w:fill="FFFFFF"/>
      <w:spacing w:before="420" w:line="324" w:lineRule="exact"/>
      <w:ind w:hanging="740"/>
      <w:jc w:val="both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E4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npa/orv/meropriyatiya/protokoly/seminar-17.03.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Остальцова Елена Ивановна</cp:lastModifiedBy>
  <cp:revision>11</cp:revision>
  <cp:lastPrinted>2021-01-26T09:55:00Z</cp:lastPrinted>
  <dcterms:created xsi:type="dcterms:W3CDTF">2021-01-26T07:11:00Z</dcterms:created>
  <dcterms:modified xsi:type="dcterms:W3CDTF">2021-01-27T04:21:00Z</dcterms:modified>
</cp:coreProperties>
</file>