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C79" w:rsidRPr="003A3318" w:rsidRDefault="005F2C79" w:rsidP="005F2C79">
      <w:pPr>
        <w:autoSpaceDE w:val="0"/>
        <w:autoSpaceDN w:val="0"/>
        <w:adjustRightInd w:val="0"/>
        <w:spacing w:line="276" w:lineRule="auto"/>
        <w:jc w:val="center"/>
        <w:rPr>
          <w:sz w:val="28"/>
          <w:szCs w:val="28"/>
        </w:rPr>
      </w:pPr>
      <w:r w:rsidRPr="003A3318">
        <w:rPr>
          <w:sz w:val="28"/>
          <w:szCs w:val="28"/>
        </w:rPr>
        <w:t xml:space="preserve">Доклад </w:t>
      </w:r>
    </w:p>
    <w:p w:rsidR="00BA6A55" w:rsidRPr="003A3318" w:rsidRDefault="00BA6A55" w:rsidP="00BA6A55">
      <w:pPr>
        <w:tabs>
          <w:tab w:val="left" w:pos="183"/>
          <w:tab w:val="left" w:pos="284"/>
        </w:tabs>
        <w:ind w:left="141"/>
        <w:jc w:val="center"/>
        <w:rPr>
          <w:b/>
          <w:sz w:val="28"/>
          <w:szCs w:val="28"/>
        </w:rPr>
      </w:pPr>
      <w:r w:rsidRPr="003A3318">
        <w:rPr>
          <w:b/>
          <w:sz w:val="28"/>
          <w:szCs w:val="28"/>
        </w:rPr>
        <w:t xml:space="preserve">О проводимой оценке регулирующего воздействия муниципальных нормативных правовых актов, затрагивающих интересы субъектов предпринимательской и инвестиционной деятельности </w:t>
      </w:r>
      <w:r w:rsidR="00E4333B">
        <w:rPr>
          <w:b/>
          <w:sz w:val="28"/>
          <w:szCs w:val="28"/>
        </w:rPr>
        <w:t>за</w:t>
      </w:r>
    </w:p>
    <w:p w:rsidR="005F2C79" w:rsidRPr="003A3318" w:rsidRDefault="005F2C79" w:rsidP="00BA6A55">
      <w:pPr>
        <w:tabs>
          <w:tab w:val="left" w:pos="183"/>
          <w:tab w:val="left" w:pos="284"/>
        </w:tabs>
        <w:ind w:left="141"/>
        <w:jc w:val="center"/>
        <w:rPr>
          <w:rFonts w:eastAsia="Calibri"/>
          <w:b/>
          <w:bCs/>
          <w:sz w:val="28"/>
          <w:szCs w:val="28"/>
          <w:lang w:eastAsia="en-US"/>
        </w:rPr>
      </w:pPr>
      <w:r w:rsidRPr="003A3318">
        <w:rPr>
          <w:rFonts w:eastAsia="Calibri"/>
          <w:b/>
          <w:bCs/>
          <w:sz w:val="28"/>
          <w:szCs w:val="28"/>
          <w:lang w:eastAsia="en-US"/>
        </w:rPr>
        <w:t>201</w:t>
      </w:r>
      <w:r w:rsidR="00A061ED">
        <w:rPr>
          <w:rFonts w:eastAsia="Calibri"/>
          <w:b/>
          <w:bCs/>
          <w:sz w:val="28"/>
          <w:szCs w:val="28"/>
          <w:lang w:eastAsia="en-US"/>
        </w:rPr>
        <w:t>9</w:t>
      </w:r>
      <w:r w:rsidRPr="003A3318">
        <w:rPr>
          <w:rFonts w:eastAsia="Calibri"/>
          <w:b/>
          <w:bCs/>
          <w:sz w:val="28"/>
          <w:szCs w:val="28"/>
          <w:lang w:eastAsia="en-US"/>
        </w:rPr>
        <w:t xml:space="preserve"> год</w:t>
      </w:r>
    </w:p>
    <w:p w:rsidR="005F2C79" w:rsidRDefault="005F2C79" w:rsidP="005F2C79">
      <w:pPr>
        <w:autoSpaceDE w:val="0"/>
        <w:autoSpaceDN w:val="0"/>
        <w:adjustRightInd w:val="0"/>
        <w:spacing w:line="276" w:lineRule="auto"/>
        <w:jc w:val="center"/>
        <w:rPr>
          <w:rFonts w:eastAsia="Calibri"/>
          <w:bCs/>
          <w:sz w:val="28"/>
          <w:szCs w:val="28"/>
          <w:lang w:eastAsia="en-US"/>
        </w:rPr>
      </w:pPr>
    </w:p>
    <w:p w:rsidR="00A061ED" w:rsidRPr="00B733EA" w:rsidRDefault="00A061ED" w:rsidP="00A061ED">
      <w:pPr>
        <w:spacing w:line="276" w:lineRule="auto"/>
        <w:ind w:firstLine="567"/>
        <w:jc w:val="both"/>
        <w:rPr>
          <w:rFonts w:eastAsia="Calibri"/>
          <w:sz w:val="32"/>
          <w:szCs w:val="28"/>
        </w:rPr>
      </w:pPr>
      <w:proofErr w:type="gramStart"/>
      <w:r w:rsidRPr="00B733EA">
        <w:rPr>
          <w:rFonts w:eastAsia="Calibri"/>
          <w:sz w:val="32"/>
          <w:szCs w:val="28"/>
        </w:rPr>
        <w:t>В</w:t>
      </w:r>
      <w:proofErr w:type="gramEnd"/>
      <w:r w:rsidRPr="00B733EA">
        <w:rPr>
          <w:rFonts w:eastAsia="Calibri"/>
          <w:sz w:val="32"/>
          <w:szCs w:val="28"/>
        </w:rPr>
        <w:t xml:space="preserve"> </w:t>
      </w:r>
      <w:proofErr w:type="gramStart"/>
      <w:r w:rsidRPr="00B733EA">
        <w:rPr>
          <w:rFonts w:eastAsia="Calibri"/>
          <w:sz w:val="32"/>
          <w:szCs w:val="28"/>
        </w:rPr>
        <w:t>Нефтеюганском</w:t>
      </w:r>
      <w:proofErr w:type="gramEnd"/>
      <w:r w:rsidRPr="00B733EA">
        <w:rPr>
          <w:rFonts w:eastAsia="Calibri"/>
          <w:sz w:val="32"/>
          <w:szCs w:val="28"/>
        </w:rPr>
        <w:t xml:space="preserve"> районе с 2016 года проводится оценка регулирующего воздействия (далее – ОРВ). ОРВ дает возможность бизнесу принимать участие в формировании правового поля своей деятельности, предотвратить избыточное регулирование. </w:t>
      </w:r>
    </w:p>
    <w:p w:rsidR="00A061ED" w:rsidRPr="00B733EA" w:rsidRDefault="00A061ED" w:rsidP="00A061ED">
      <w:pPr>
        <w:spacing w:line="276" w:lineRule="auto"/>
        <w:ind w:firstLine="567"/>
        <w:jc w:val="both"/>
        <w:rPr>
          <w:rFonts w:eastAsia="Calibri"/>
          <w:sz w:val="32"/>
          <w:szCs w:val="28"/>
        </w:rPr>
      </w:pPr>
      <w:r w:rsidRPr="00B733EA">
        <w:rPr>
          <w:rFonts w:eastAsia="Calibri"/>
          <w:sz w:val="32"/>
          <w:szCs w:val="28"/>
        </w:rPr>
        <w:t xml:space="preserve">На постоянной основе проводятся публичные </w:t>
      </w:r>
      <w:proofErr w:type="gramStart"/>
      <w:r w:rsidRPr="00B733EA">
        <w:rPr>
          <w:rFonts w:eastAsia="Calibri"/>
          <w:sz w:val="32"/>
          <w:szCs w:val="28"/>
        </w:rPr>
        <w:t>консультации</w:t>
      </w:r>
      <w:proofErr w:type="gramEnd"/>
      <w:r w:rsidRPr="00B733EA">
        <w:rPr>
          <w:rFonts w:eastAsia="Calibri"/>
          <w:sz w:val="32"/>
          <w:szCs w:val="28"/>
        </w:rPr>
        <w:t xml:space="preserve"> которые являются важнейшим элементом ОРВ. </w:t>
      </w:r>
    </w:p>
    <w:p w:rsidR="00A061ED" w:rsidRPr="00B733EA" w:rsidRDefault="00A061ED" w:rsidP="00A061ED">
      <w:pPr>
        <w:spacing w:line="276" w:lineRule="auto"/>
        <w:ind w:firstLine="567"/>
        <w:jc w:val="both"/>
        <w:rPr>
          <w:rFonts w:eastAsia="Calibri"/>
          <w:sz w:val="32"/>
          <w:szCs w:val="28"/>
        </w:rPr>
      </w:pPr>
      <w:r w:rsidRPr="00B733EA">
        <w:rPr>
          <w:rFonts w:eastAsia="Calibri"/>
          <w:sz w:val="32"/>
          <w:szCs w:val="28"/>
        </w:rPr>
        <w:t>О проведении начала публичных консультаций субъекты малого и среднего предпринимательства информируются в социальной сити «</w:t>
      </w:r>
      <w:proofErr w:type="spellStart"/>
      <w:r w:rsidRPr="00B733EA">
        <w:rPr>
          <w:rFonts w:eastAsia="Calibri"/>
          <w:sz w:val="32"/>
          <w:szCs w:val="28"/>
        </w:rPr>
        <w:t>ВКонтакте</w:t>
      </w:r>
      <w:proofErr w:type="spellEnd"/>
      <w:r w:rsidRPr="00B733EA">
        <w:rPr>
          <w:rFonts w:eastAsia="Calibri"/>
          <w:sz w:val="32"/>
          <w:szCs w:val="28"/>
        </w:rPr>
        <w:t>» и на Инвестиционном портале в разделе «Новости инвестиционного портала».</w:t>
      </w:r>
    </w:p>
    <w:p w:rsidR="00A061ED" w:rsidRPr="00B733EA" w:rsidRDefault="00A061ED" w:rsidP="00A061ED">
      <w:pPr>
        <w:spacing w:line="276" w:lineRule="auto"/>
        <w:ind w:firstLine="567"/>
        <w:jc w:val="both"/>
        <w:rPr>
          <w:rFonts w:eastAsia="Calibri"/>
          <w:sz w:val="32"/>
          <w:szCs w:val="28"/>
        </w:rPr>
      </w:pPr>
      <w:r w:rsidRPr="00B733EA">
        <w:rPr>
          <w:rFonts w:eastAsia="Calibri"/>
          <w:sz w:val="32"/>
          <w:szCs w:val="28"/>
        </w:rPr>
        <w:t xml:space="preserve">В целях сотрудничества при проведении ОРВ, в том числе участия в публичных консультациях заключены 5 Соглашений о сотрудничестве при проведении ОРВ с организациями, представляющими интересы предпринимательского сообщества </w:t>
      </w:r>
      <w:r w:rsidRPr="00B733EA">
        <w:rPr>
          <w:rFonts w:eastAsia="Calibri"/>
          <w:i/>
          <w:sz w:val="28"/>
        </w:rPr>
        <w:t>(Торгово-промышленной палатой Хант</w:t>
      </w:r>
      <w:proofErr w:type="gramStart"/>
      <w:r w:rsidRPr="00B733EA">
        <w:rPr>
          <w:rFonts w:eastAsia="Calibri"/>
          <w:i/>
          <w:sz w:val="28"/>
        </w:rPr>
        <w:t>ы-</w:t>
      </w:r>
      <w:proofErr w:type="gramEnd"/>
      <w:r w:rsidRPr="00B733EA">
        <w:rPr>
          <w:rFonts w:eastAsia="Calibri"/>
          <w:i/>
          <w:sz w:val="28"/>
        </w:rPr>
        <w:t xml:space="preserve"> Мансийского автономного округа – Югры, АУ «Технопарк высоких технологий» Ханты-Мансийского автономного округа – Югры, Региональное отделение Общероссийской общественной организацией «Российский союз промышленников и предпринимателей» (Объединение работодателей Ханты-Мансийского автономного округа – Югры), Некоммерческое партнерство «Союз </w:t>
      </w:r>
      <w:proofErr w:type="spellStart"/>
      <w:r w:rsidRPr="00B733EA">
        <w:rPr>
          <w:rFonts w:eastAsia="Calibri"/>
          <w:i/>
          <w:sz w:val="28"/>
        </w:rPr>
        <w:t>турпредприятий</w:t>
      </w:r>
      <w:proofErr w:type="spellEnd"/>
      <w:r w:rsidRPr="00B733EA">
        <w:rPr>
          <w:rFonts w:eastAsia="Calibri"/>
          <w:i/>
          <w:sz w:val="28"/>
        </w:rPr>
        <w:t xml:space="preserve"> Югры», Союз «</w:t>
      </w:r>
      <w:proofErr w:type="spellStart"/>
      <w:r w:rsidRPr="00B733EA">
        <w:rPr>
          <w:rFonts w:eastAsia="Calibri"/>
          <w:i/>
          <w:sz w:val="28"/>
        </w:rPr>
        <w:t>Сургутская</w:t>
      </w:r>
      <w:proofErr w:type="spellEnd"/>
      <w:r w:rsidRPr="00B733EA">
        <w:rPr>
          <w:rFonts w:eastAsia="Calibri"/>
          <w:i/>
          <w:sz w:val="28"/>
        </w:rPr>
        <w:t xml:space="preserve"> торгово-промышленная палата»).</w:t>
      </w:r>
    </w:p>
    <w:p w:rsidR="00A061ED" w:rsidRPr="00B733EA" w:rsidRDefault="00A061ED" w:rsidP="00A061ED">
      <w:pPr>
        <w:spacing w:line="276" w:lineRule="auto"/>
        <w:ind w:firstLine="567"/>
        <w:jc w:val="both"/>
        <w:rPr>
          <w:rFonts w:eastAsia="Calibri"/>
          <w:sz w:val="32"/>
          <w:szCs w:val="28"/>
        </w:rPr>
      </w:pPr>
      <w:r w:rsidRPr="00B733EA">
        <w:rPr>
          <w:rFonts w:eastAsia="Calibri"/>
          <w:sz w:val="32"/>
          <w:szCs w:val="28"/>
        </w:rPr>
        <w:t xml:space="preserve">По состоянию на </w:t>
      </w:r>
      <w:r w:rsidR="004C378B">
        <w:rPr>
          <w:rFonts w:eastAsia="Calibri"/>
          <w:sz w:val="32"/>
          <w:szCs w:val="28"/>
        </w:rPr>
        <w:t>3</w:t>
      </w:r>
      <w:r w:rsidRPr="00B733EA">
        <w:rPr>
          <w:rFonts w:eastAsia="Calibri"/>
          <w:sz w:val="32"/>
          <w:szCs w:val="28"/>
        </w:rPr>
        <w:t xml:space="preserve">1 декабря 2019 года в уполномоченный орган в лице комитета по экономической политике и предпринимательству поступило </w:t>
      </w:r>
      <w:r w:rsidR="004C378B" w:rsidRPr="004C378B">
        <w:rPr>
          <w:rFonts w:eastAsia="Calibri"/>
          <w:sz w:val="32"/>
          <w:szCs w:val="28"/>
        </w:rPr>
        <w:t xml:space="preserve">293 </w:t>
      </w:r>
      <w:r w:rsidR="004C378B">
        <w:rPr>
          <w:rFonts w:eastAsia="Calibri"/>
          <w:sz w:val="32"/>
          <w:szCs w:val="28"/>
        </w:rPr>
        <w:t>у</w:t>
      </w:r>
      <w:r w:rsidRPr="00B733EA">
        <w:rPr>
          <w:rFonts w:eastAsia="Calibri"/>
          <w:sz w:val="32"/>
          <w:szCs w:val="28"/>
        </w:rPr>
        <w:t>ведомлений о проведении оценки регулирующего воздействия.</w:t>
      </w:r>
    </w:p>
    <w:p w:rsidR="00A061ED" w:rsidRPr="00B733EA" w:rsidRDefault="00A061ED" w:rsidP="00A061ED">
      <w:pPr>
        <w:spacing w:line="276" w:lineRule="auto"/>
        <w:ind w:firstLine="567"/>
        <w:jc w:val="both"/>
        <w:rPr>
          <w:rFonts w:eastAsia="Calibri"/>
          <w:sz w:val="32"/>
          <w:szCs w:val="28"/>
        </w:rPr>
      </w:pPr>
      <w:r w:rsidRPr="00B733EA">
        <w:rPr>
          <w:rFonts w:eastAsia="Calibri"/>
          <w:sz w:val="32"/>
          <w:szCs w:val="28"/>
        </w:rPr>
        <w:t xml:space="preserve">Уполномоченным органом в общем количестве выдано </w:t>
      </w:r>
      <w:r w:rsidR="004C378B" w:rsidRPr="004C378B">
        <w:rPr>
          <w:rFonts w:eastAsia="Calibri"/>
          <w:sz w:val="32"/>
          <w:szCs w:val="28"/>
        </w:rPr>
        <w:t>302</w:t>
      </w:r>
      <w:r w:rsidRPr="004C378B">
        <w:rPr>
          <w:rFonts w:eastAsia="Calibri"/>
          <w:sz w:val="32"/>
          <w:szCs w:val="28"/>
        </w:rPr>
        <w:t xml:space="preserve"> </w:t>
      </w:r>
      <w:r w:rsidRPr="00B733EA">
        <w:rPr>
          <w:rFonts w:eastAsia="Calibri"/>
          <w:sz w:val="32"/>
          <w:szCs w:val="28"/>
        </w:rPr>
        <w:t>заключения об оценке регулирующего воздействия (далее – ОРВ) по проектам муниципальных нормативных правовых актов (далее – НПА) из них:</w:t>
      </w:r>
    </w:p>
    <w:p w:rsidR="00A061ED" w:rsidRPr="00B733EA" w:rsidRDefault="00A061ED" w:rsidP="00A061ED">
      <w:pPr>
        <w:spacing w:line="276" w:lineRule="auto"/>
        <w:ind w:firstLine="567"/>
        <w:jc w:val="both"/>
        <w:rPr>
          <w:rFonts w:eastAsia="Calibri"/>
          <w:sz w:val="32"/>
          <w:szCs w:val="28"/>
        </w:rPr>
      </w:pPr>
      <w:r w:rsidRPr="00B733EA">
        <w:rPr>
          <w:rFonts w:eastAsia="Calibri"/>
          <w:sz w:val="32"/>
          <w:szCs w:val="28"/>
        </w:rPr>
        <w:lastRenderedPageBreak/>
        <w:t>- 2</w:t>
      </w:r>
      <w:r w:rsidR="004C378B">
        <w:rPr>
          <w:rFonts w:eastAsia="Calibri"/>
          <w:sz w:val="32"/>
          <w:szCs w:val="28"/>
        </w:rPr>
        <w:t>93</w:t>
      </w:r>
      <w:bookmarkStart w:id="0" w:name="_GoBack"/>
      <w:bookmarkEnd w:id="0"/>
      <w:r w:rsidRPr="00B733EA">
        <w:rPr>
          <w:rFonts w:eastAsia="Calibri"/>
          <w:sz w:val="32"/>
          <w:szCs w:val="28"/>
        </w:rPr>
        <w:t xml:space="preserve"> заключений о </w:t>
      </w:r>
      <w:proofErr w:type="gramStart"/>
      <w:r w:rsidRPr="00B733EA">
        <w:rPr>
          <w:rFonts w:eastAsia="Calibri"/>
          <w:sz w:val="32"/>
          <w:szCs w:val="28"/>
        </w:rPr>
        <w:t>предварительной</w:t>
      </w:r>
      <w:proofErr w:type="gramEnd"/>
      <w:r w:rsidRPr="00B733EA">
        <w:rPr>
          <w:rFonts w:eastAsia="Calibri"/>
          <w:sz w:val="32"/>
          <w:szCs w:val="28"/>
        </w:rPr>
        <w:t xml:space="preserve"> ОРВ;</w:t>
      </w:r>
    </w:p>
    <w:p w:rsidR="00A061ED" w:rsidRPr="00B733EA" w:rsidRDefault="00A061ED" w:rsidP="00A061ED">
      <w:pPr>
        <w:spacing w:line="276" w:lineRule="auto"/>
        <w:ind w:firstLine="567"/>
        <w:jc w:val="both"/>
        <w:rPr>
          <w:rFonts w:eastAsia="Calibri"/>
          <w:sz w:val="32"/>
          <w:szCs w:val="28"/>
        </w:rPr>
      </w:pPr>
      <w:r w:rsidRPr="00B733EA">
        <w:rPr>
          <w:rFonts w:eastAsia="Calibri"/>
          <w:sz w:val="32"/>
          <w:szCs w:val="28"/>
        </w:rPr>
        <w:t xml:space="preserve">- 9 экспертных заключений об </w:t>
      </w:r>
      <w:proofErr w:type="gramStart"/>
      <w:r w:rsidRPr="00B733EA">
        <w:rPr>
          <w:rFonts w:eastAsia="Calibri"/>
          <w:sz w:val="32"/>
          <w:szCs w:val="28"/>
        </w:rPr>
        <w:t>углубленной</w:t>
      </w:r>
      <w:proofErr w:type="gramEnd"/>
      <w:r w:rsidRPr="00B733EA">
        <w:rPr>
          <w:rFonts w:eastAsia="Calibri"/>
          <w:sz w:val="32"/>
          <w:szCs w:val="28"/>
        </w:rPr>
        <w:t xml:space="preserve"> ОРВ.</w:t>
      </w:r>
    </w:p>
    <w:p w:rsidR="00A061ED" w:rsidRPr="00B733EA" w:rsidRDefault="00A061ED" w:rsidP="00A061ED">
      <w:pPr>
        <w:spacing w:line="276" w:lineRule="auto"/>
        <w:ind w:firstLine="567"/>
        <w:jc w:val="both"/>
        <w:rPr>
          <w:rFonts w:eastAsia="Calibri"/>
          <w:sz w:val="32"/>
          <w:szCs w:val="28"/>
        </w:rPr>
      </w:pPr>
      <w:r w:rsidRPr="00B733EA">
        <w:rPr>
          <w:rFonts w:eastAsia="Calibri"/>
          <w:sz w:val="32"/>
          <w:szCs w:val="28"/>
        </w:rPr>
        <w:t xml:space="preserve">По результатам проведения </w:t>
      </w:r>
      <w:proofErr w:type="gramStart"/>
      <w:r w:rsidRPr="00B733EA">
        <w:rPr>
          <w:rFonts w:eastAsia="Calibri"/>
          <w:sz w:val="32"/>
          <w:szCs w:val="28"/>
        </w:rPr>
        <w:t>углубленной</w:t>
      </w:r>
      <w:proofErr w:type="gramEnd"/>
      <w:r w:rsidRPr="00B733EA">
        <w:rPr>
          <w:rFonts w:eastAsia="Calibri"/>
          <w:sz w:val="32"/>
          <w:szCs w:val="28"/>
        </w:rPr>
        <w:t xml:space="preserve"> ОРВ поступили предложения по 5 проектам НПА:</w:t>
      </w:r>
    </w:p>
    <w:p w:rsidR="00A061ED" w:rsidRPr="00B733EA" w:rsidRDefault="00A061ED" w:rsidP="00A061ED">
      <w:pPr>
        <w:spacing w:line="276" w:lineRule="auto"/>
        <w:ind w:firstLine="567"/>
        <w:jc w:val="both"/>
        <w:rPr>
          <w:rFonts w:eastAsia="Calibri"/>
          <w:sz w:val="32"/>
          <w:szCs w:val="28"/>
        </w:rPr>
      </w:pPr>
      <w:r w:rsidRPr="00B733EA">
        <w:rPr>
          <w:rFonts w:eastAsia="Calibri"/>
          <w:sz w:val="32"/>
          <w:szCs w:val="28"/>
        </w:rPr>
        <w:t xml:space="preserve">- по 4 проектам НПА предложения </w:t>
      </w:r>
      <w:proofErr w:type="gramStart"/>
      <w:r w:rsidRPr="00B733EA">
        <w:rPr>
          <w:rFonts w:eastAsia="Calibri"/>
          <w:sz w:val="32"/>
          <w:szCs w:val="28"/>
        </w:rPr>
        <w:t>учтены и внесены</w:t>
      </w:r>
      <w:proofErr w:type="gramEnd"/>
      <w:r w:rsidRPr="00B733EA">
        <w:rPr>
          <w:rFonts w:eastAsia="Calibri"/>
          <w:sz w:val="32"/>
          <w:szCs w:val="28"/>
        </w:rPr>
        <w:t xml:space="preserve"> изменения в НПА;</w:t>
      </w:r>
    </w:p>
    <w:p w:rsidR="00A061ED" w:rsidRPr="00B733EA" w:rsidRDefault="00A061ED" w:rsidP="00A061ED">
      <w:pPr>
        <w:spacing w:line="276" w:lineRule="auto"/>
        <w:ind w:firstLine="567"/>
        <w:jc w:val="both"/>
        <w:rPr>
          <w:rFonts w:eastAsia="Calibri"/>
          <w:sz w:val="32"/>
          <w:szCs w:val="28"/>
        </w:rPr>
      </w:pPr>
      <w:r w:rsidRPr="00B733EA">
        <w:rPr>
          <w:rFonts w:eastAsia="Calibri"/>
          <w:sz w:val="32"/>
          <w:szCs w:val="28"/>
        </w:rPr>
        <w:t>- по 1 проекту НПА даны разъяснения в соответствии с действующим законодательством.</w:t>
      </w:r>
    </w:p>
    <w:p w:rsidR="00A061ED" w:rsidRPr="00B733EA" w:rsidRDefault="00A061ED" w:rsidP="00A061ED">
      <w:pPr>
        <w:spacing w:line="276" w:lineRule="auto"/>
        <w:ind w:firstLine="567"/>
        <w:jc w:val="both"/>
        <w:rPr>
          <w:rFonts w:eastAsia="Calibri"/>
          <w:sz w:val="32"/>
          <w:szCs w:val="28"/>
        </w:rPr>
      </w:pPr>
      <w:r w:rsidRPr="00B733EA">
        <w:rPr>
          <w:rFonts w:eastAsia="Calibri"/>
          <w:sz w:val="32"/>
          <w:szCs w:val="28"/>
        </w:rPr>
        <w:t>По плану проведения экспертизы принятых муниципальных нормативных правовых актов Нефтеюганского района, затрагивающих вопросы осуществления предпринимательской и инвестиционной деятельности на 2019 год выдано 5 экспертных заключений. По итогам проведения экспертизы постановление администрации от 22.05.2017 № 810-па-нпа «Об утверждении порядка предоставления субсидии на возмещение недополученных доходов и (или) возмещение затрат на топливо (нефть, мазут), используемое для предоставления услуг по отоплению и горячему водоснабжению» было признано не эффективным. Регулирующим органом принято решение признать НПА утратившим силу.</w:t>
      </w:r>
    </w:p>
    <w:p w:rsidR="00A061ED" w:rsidRPr="00B733EA" w:rsidRDefault="00A061ED" w:rsidP="00A061ED">
      <w:pPr>
        <w:spacing w:line="276" w:lineRule="auto"/>
        <w:ind w:firstLine="567"/>
        <w:jc w:val="both"/>
        <w:rPr>
          <w:rFonts w:eastAsia="Calibri"/>
          <w:sz w:val="32"/>
          <w:szCs w:val="28"/>
        </w:rPr>
      </w:pPr>
      <w:r w:rsidRPr="00B733EA">
        <w:rPr>
          <w:rFonts w:eastAsia="Calibri"/>
          <w:sz w:val="32"/>
          <w:szCs w:val="28"/>
        </w:rPr>
        <w:t xml:space="preserve">С 2018 года в районе также проводится оценка фактического воздействия </w:t>
      </w:r>
      <w:proofErr w:type="gramStart"/>
      <w:r w:rsidRPr="00B733EA">
        <w:rPr>
          <w:rFonts w:eastAsia="Calibri"/>
          <w:sz w:val="32"/>
          <w:szCs w:val="28"/>
        </w:rPr>
        <w:t>действующих</w:t>
      </w:r>
      <w:proofErr w:type="gramEnd"/>
      <w:r w:rsidRPr="00B733EA">
        <w:rPr>
          <w:rFonts w:eastAsia="Calibri"/>
          <w:sz w:val="32"/>
          <w:szCs w:val="28"/>
        </w:rPr>
        <w:t xml:space="preserve"> НПА, которые проходили ОРВ. </w:t>
      </w:r>
      <w:proofErr w:type="gramStart"/>
      <w:r w:rsidRPr="00B733EA">
        <w:rPr>
          <w:rFonts w:eastAsia="Calibri"/>
          <w:sz w:val="32"/>
          <w:szCs w:val="28"/>
        </w:rPr>
        <w:t>Выданы 4 экспертных заключения об оценке фактического воздействия, по результатам которых принято решение о сохранении действующего регулирования.</w:t>
      </w:r>
      <w:proofErr w:type="gramEnd"/>
    </w:p>
    <w:p w:rsidR="00A061ED" w:rsidRPr="00B733EA" w:rsidRDefault="00A061ED" w:rsidP="00A061ED">
      <w:pPr>
        <w:spacing w:line="276" w:lineRule="auto"/>
        <w:ind w:firstLine="567"/>
        <w:jc w:val="both"/>
        <w:rPr>
          <w:rFonts w:eastAsia="Calibri"/>
          <w:sz w:val="32"/>
          <w:szCs w:val="28"/>
        </w:rPr>
      </w:pPr>
      <w:proofErr w:type="gramStart"/>
      <w:r w:rsidRPr="00B733EA">
        <w:rPr>
          <w:rFonts w:eastAsia="Calibri"/>
          <w:sz w:val="32"/>
          <w:szCs w:val="28"/>
        </w:rPr>
        <w:t>По итогам первого полугодия 2019 года опыт администрации Нефтеюганского района признан лучшей практикой по проведению оценки регулирующего воздействия Департаментом экономического развития автономного округа (проект постановления администрации Нефтеюганского района «Об организации транспортного обслуживания населения автомобильным транспортом общего пользования по муниципальным маршрутам на территории Нефтеюганского района») http://orv.gov.ru/Content/Item?n=30307.</w:t>
      </w:r>
      <w:proofErr w:type="gramEnd"/>
    </w:p>
    <w:p w:rsidR="00A061ED" w:rsidRPr="00B733EA" w:rsidRDefault="00A061ED" w:rsidP="00A061ED">
      <w:pPr>
        <w:spacing w:line="276" w:lineRule="auto"/>
        <w:ind w:firstLine="567"/>
        <w:jc w:val="both"/>
        <w:rPr>
          <w:rFonts w:eastAsia="Calibri"/>
          <w:sz w:val="32"/>
          <w:szCs w:val="28"/>
        </w:rPr>
      </w:pPr>
      <w:r w:rsidRPr="00B733EA">
        <w:rPr>
          <w:rFonts w:eastAsia="Calibri"/>
          <w:sz w:val="32"/>
          <w:szCs w:val="28"/>
        </w:rPr>
        <w:lastRenderedPageBreak/>
        <w:t>В ноябре в Департамент экономического развития автономного округа направлена еще одна лучная практика по проведению оценки фактического воздействия по постановлению администрации Нефтеюганского района от 16.04.2012 № 1081-па-нпа «О системе управления охраной труда в муниципальном образовании Нефтеюганский район».</w:t>
      </w:r>
    </w:p>
    <w:p w:rsidR="002F0DE4" w:rsidRPr="003A3318" w:rsidRDefault="002F0DE4" w:rsidP="005F2C79">
      <w:pPr>
        <w:autoSpaceDE w:val="0"/>
        <w:autoSpaceDN w:val="0"/>
        <w:adjustRightInd w:val="0"/>
        <w:spacing w:line="276" w:lineRule="auto"/>
        <w:jc w:val="center"/>
        <w:rPr>
          <w:rFonts w:eastAsia="Calibri"/>
          <w:bCs/>
          <w:sz w:val="28"/>
          <w:szCs w:val="28"/>
          <w:lang w:eastAsia="en-US"/>
        </w:rPr>
      </w:pPr>
    </w:p>
    <w:sectPr w:rsidR="002F0DE4" w:rsidRPr="003A3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8728A"/>
    <w:multiLevelType w:val="hybridMultilevel"/>
    <w:tmpl w:val="208C0E64"/>
    <w:lvl w:ilvl="0" w:tplc="AA68C3EA">
      <w:start w:val="1"/>
      <w:numFmt w:val="decimal"/>
      <w:lvlText w:val="%1."/>
      <w:lvlJc w:val="left"/>
      <w:pPr>
        <w:ind w:left="501"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49517A"/>
    <w:multiLevelType w:val="hybridMultilevel"/>
    <w:tmpl w:val="208C0E64"/>
    <w:lvl w:ilvl="0" w:tplc="AA68C3EA">
      <w:start w:val="1"/>
      <w:numFmt w:val="decimal"/>
      <w:lvlText w:val="%1."/>
      <w:lvlJc w:val="left"/>
      <w:pPr>
        <w:ind w:left="501"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6DD"/>
    <w:rsid w:val="0000135F"/>
    <w:rsid w:val="00025022"/>
    <w:rsid w:val="0003163E"/>
    <w:rsid w:val="00033235"/>
    <w:rsid w:val="000A33F8"/>
    <w:rsid w:val="000C31B0"/>
    <w:rsid w:val="000D0576"/>
    <w:rsid w:val="000D6E3F"/>
    <w:rsid w:val="000E39B9"/>
    <w:rsid w:val="000F760A"/>
    <w:rsid w:val="001056F2"/>
    <w:rsid w:val="0011293C"/>
    <w:rsid w:val="001171A0"/>
    <w:rsid w:val="001501B6"/>
    <w:rsid w:val="001C0B96"/>
    <w:rsid w:val="001E08C6"/>
    <w:rsid w:val="001F3C9A"/>
    <w:rsid w:val="00267413"/>
    <w:rsid w:val="002834D4"/>
    <w:rsid w:val="002B3623"/>
    <w:rsid w:val="002F0DE4"/>
    <w:rsid w:val="0035054C"/>
    <w:rsid w:val="003A3318"/>
    <w:rsid w:val="004137C9"/>
    <w:rsid w:val="00446D2A"/>
    <w:rsid w:val="004677A6"/>
    <w:rsid w:val="00490F86"/>
    <w:rsid w:val="004B450A"/>
    <w:rsid w:val="004C311B"/>
    <w:rsid w:val="004C378B"/>
    <w:rsid w:val="005307AC"/>
    <w:rsid w:val="0055200A"/>
    <w:rsid w:val="00557680"/>
    <w:rsid w:val="00582FFF"/>
    <w:rsid w:val="005A6899"/>
    <w:rsid w:val="005B12D1"/>
    <w:rsid w:val="005E19FF"/>
    <w:rsid w:val="005F2C79"/>
    <w:rsid w:val="006035B2"/>
    <w:rsid w:val="00607F9A"/>
    <w:rsid w:val="00615709"/>
    <w:rsid w:val="00661CC4"/>
    <w:rsid w:val="006628FB"/>
    <w:rsid w:val="00680076"/>
    <w:rsid w:val="006A36C8"/>
    <w:rsid w:val="006B060E"/>
    <w:rsid w:val="006B4843"/>
    <w:rsid w:val="006D781D"/>
    <w:rsid w:val="006F5782"/>
    <w:rsid w:val="007142FC"/>
    <w:rsid w:val="00752E99"/>
    <w:rsid w:val="00754EC5"/>
    <w:rsid w:val="007829BC"/>
    <w:rsid w:val="007F4050"/>
    <w:rsid w:val="007F7D43"/>
    <w:rsid w:val="008473A3"/>
    <w:rsid w:val="00874E69"/>
    <w:rsid w:val="009003DD"/>
    <w:rsid w:val="0091084B"/>
    <w:rsid w:val="009526B5"/>
    <w:rsid w:val="009815E7"/>
    <w:rsid w:val="009C02DF"/>
    <w:rsid w:val="009C2FA5"/>
    <w:rsid w:val="00A061ED"/>
    <w:rsid w:val="00A0642B"/>
    <w:rsid w:val="00A81979"/>
    <w:rsid w:val="00A92F43"/>
    <w:rsid w:val="00AE4370"/>
    <w:rsid w:val="00B11B65"/>
    <w:rsid w:val="00BA6A55"/>
    <w:rsid w:val="00BC479A"/>
    <w:rsid w:val="00C15D14"/>
    <w:rsid w:val="00C30CF8"/>
    <w:rsid w:val="00C446DD"/>
    <w:rsid w:val="00C64E9E"/>
    <w:rsid w:val="00C801F2"/>
    <w:rsid w:val="00C824A1"/>
    <w:rsid w:val="00CC56EE"/>
    <w:rsid w:val="00CD45BF"/>
    <w:rsid w:val="00CE42E0"/>
    <w:rsid w:val="00CF20B2"/>
    <w:rsid w:val="00D10F17"/>
    <w:rsid w:val="00D136BD"/>
    <w:rsid w:val="00D86F22"/>
    <w:rsid w:val="00DC55A2"/>
    <w:rsid w:val="00DE0669"/>
    <w:rsid w:val="00DF12BA"/>
    <w:rsid w:val="00DF4D7C"/>
    <w:rsid w:val="00E049D9"/>
    <w:rsid w:val="00E04F53"/>
    <w:rsid w:val="00E22C56"/>
    <w:rsid w:val="00E4333B"/>
    <w:rsid w:val="00E61018"/>
    <w:rsid w:val="00EC09FD"/>
    <w:rsid w:val="00EC6775"/>
    <w:rsid w:val="00EC6F54"/>
    <w:rsid w:val="00ED5961"/>
    <w:rsid w:val="00EF7DB7"/>
    <w:rsid w:val="00F4613A"/>
    <w:rsid w:val="00F46C3B"/>
    <w:rsid w:val="00F744A5"/>
    <w:rsid w:val="00F7733E"/>
    <w:rsid w:val="00F825F0"/>
    <w:rsid w:val="00F91CBF"/>
    <w:rsid w:val="00FC65B8"/>
    <w:rsid w:val="00FF28D4"/>
    <w:rsid w:val="00FF4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EC5"/>
    <w:pPr>
      <w:spacing w:before="100" w:beforeAutospacing="1" w:after="100" w:afterAutospacing="1" w:line="245" w:lineRule="atLeast"/>
    </w:pPr>
  </w:style>
  <w:style w:type="paragraph" w:styleId="a4">
    <w:name w:val="Balloon Text"/>
    <w:basedOn w:val="a"/>
    <w:link w:val="a5"/>
    <w:uiPriority w:val="99"/>
    <w:semiHidden/>
    <w:unhideWhenUsed/>
    <w:rsid w:val="00874E69"/>
    <w:rPr>
      <w:rFonts w:ascii="Tahoma" w:hAnsi="Tahoma" w:cs="Tahoma"/>
      <w:sz w:val="16"/>
      <w:szCs w:val="16"/>
    </w:rPr>
  </w:style>
  <w:style w:type="character" w:customStyle="1" w:styleId="a5">
    <w:name w:val="Текст выноски Знак"/>
    <w:basedOn w:val="a0"/>
    <w:link w:val="a4"/>
    <w:uiPriority w:val="99"/>
    <w:semiHidden/>
    <w:rsid w:val="00874E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EC5"/>
    <w:pPr>
      <w:spacing w:before="100" w:beforeAutospacing="1" w:after="100" w:afterAutospacing="1" w:line="245" w:lineRule="atLeast"/>
    </w:pPr>
  </w:style>
  <w:style w:type="paragraph" w:styleId="a4">
    <w:name w:val="Balloon Text"/>
    <w:basedOn w:val="a"/>
    <w:link w:val="a5"/>
    <w:uiPriority w:val="99"/>
    <w:semiHidden/>
    <w:unhideWhenUsed/>
    <w:rsid w:val="00874E69"/>
    <w:rPr>
      <w:rFonts w:ascii="Tahoma" w:hAnsi="Tahoma" w:cs="Tahoma"/>
      <w:sz w:val="16"/>
      <w:szCs w:val="16"/>
    </w:rPr>
  </w:style>
  <w:style w:type="character" w:customStyle="1" w:styleId="a5">
    <w:name w:val="Текст выноски Знак"/>
    <w:basedOn w:val="a0"/>
    <w:link w:val="a4"/>
    <w:uiPriority w:val="99"/>
    <w:semiHidden/>
    <w:rsid w:val="00874E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339477">
      <w:bodyDiv w:val="1"/>
      <w:marLeft w:val="0"/>
      <w:marRight w:val="0"/>
      <w:marTop w:val="0"/>
      <w:marBottom w:val="0"/>
      <w:divBdr>
        <w:top w:val="none" w:sz="0" w:space="0" w:color="auto"/>
        <w:left w:val="none" w:sz="0" w:space="0" w:color="auto"/>
        <w:bottom w:val="none" w:sz="0" w:space="0" w:color="auto"/>
        <w:right w:val="none" w:sz="0" w:space="0" w:color="auto"/>
      </w:divBdr>
    </w:div>
    <w:div w:id="170737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563</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Остальцова Елена Ивановна</dc:creator>
  <cp:lastModifiedBy>Остальцова Елена Ивановна</cp:lastModifiedBy>
  <cp:revision>6</cp:revision>
  <cp:lastPrinted>2021-01-26T10:00:00Z</cp:lastPrinted>
  <dcterms:created xsi:type="dcterms:W3CDTF">2021-01-26T07:11:00Z</dcterms:created>
  <dcterms:modified xsi:type="dcterms:W3CDTF">2021-01-26T10:01:00Z</dcterms:modified>
</cp:coreProperties>
</file>