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D1" w:rsidRDefault="00C24A6E" w:rsidP="00C24A6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FB0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 </w:t>
      </w:r>
    </w:p>
    <w:p w:rsidR="00C24A6E" w:rsidRPr="00C24A6E" w:rsidRDefault="005C4FB0" w:rsidP="00C24A6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5C4FB0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>Актуальная редакция</w:t>
      </w:r>
      <w:r w:rsidR="00E65E1F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24A6E" w:rsidRPr="00C24A6E" w:rsidRDefault="00C24A6E" w:rsidP="00C24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4A6E" w:rsidRPr="00C24A6E" w:rsidTr="00A06DD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.04.2017</w:t>
            </w:r>
          </w:p>
        </w:tc>
        <w:tc>
          <w:tcPr>
            <w:tcW w:w="6595" w:type="dxa"/>
            <w:vMerge w:val="restart"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676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24A6E" w:rsidRPr="00C24A6E" w:rsidTr="00A06DD0">
        <w:trPr>
          <w:cantSplit/>
          <w:trHeight w:val="232"/>
        </w:trPr>
        <w:tc>
          <w:tcPr>
            <w:tcW w:w="3119" w:type="dxa"/>
          </w:tcPr>
          <w:p w:rsidR="00C24A6E" w:rsidRPr="00C24A6E" w:rsidRDefault="00C24A6E" w:rsidP="00C2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69195B" w:rsidRDefault="007065D4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</w:t>
      </w:r>
      <w:r w:rsidR="00087626">
        <w:rPr>
          <w:noProof/>
          <w:sz w:val="26"/>
          <w:szCs w:val="26"/>
        </w:rPr>
        <w:t xml:space="preserve"> конкурсно</w:t>
      </w:r>
      <w:r w:rsidR="009412ED">
        <w:rPr>
          <w:noProof/>
          <w:sz w:val="26"/>
          <w:szCs w:val="26"/>
        </w:rPr>
        <w:t>м</w:t>
      </w:r>
      <w:r w:rsidR="00087626">
        <w:rPr>
          <w:noProof/>
          <w:sz w:val="26"/>
          <w:szCs w:val="26"/>
        </w:rPr>
        <w:t xml:space="preserve"> отбор</w:t>
      </w:r>
      <w:r w:rsidR="009412ED">
        <w:rPr>
          <w:noProof/>
          <w:sz w:val="26"/>
          <w:szCs w:val="26"/>
        </w:rPr>
        <w:t>е</w:t>
      </w:r>
      <w:r w:rsidR="00087626">
        <w:rPr>
          <w:noProof/>
          <w:sz w:val="26"/>
          <w:szCs w:val="26"/>
        </w:rPr>
        <w:t xml:space="preserve"> проектов «Народный бюджет»</w:t>
      </w:r>
    </w:p>
    <w:p w:rsidR="00087626" w:rsidRDefault="0024273B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Нефтеюганском районе</w:t>
      </w:r>
      <w:r w:rsidR="00C90892">
        <w:rPr>
          <w:noProof/>
          <w:sz w:val="26"/>
          <w:szCs w:val="26"/>
        </w:rPr>
        <w:t xml:space="preserve"> в редакции: 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886-па от 01.06.2017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1505-па от 30.08.2017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1718-па от 05.10.2017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№2335-па от 14.12.2017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320-па от 12.03.2018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894-па от 06.06.2018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501-па от 11.03.2019</w:t>
      </w:r>
    </w:p>
    <w:p w:rsidR="00C90892" w:rsidRP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1607-па от 29.07.2019</w:t>
      </w:r>
    </w:p>
    <w:p w:rsidR="00C90892" w:rsidRDefault="00C90892" w:rsidP="00C24A6E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C90892">
        <w:rPr>
          <w:b/>
          <w:noProof/>
          <w:color w:val="FF0000"/>
          <w:sz w:val="26"/>
          <w:szCs w:val="26"/>
        </w:rPr>
        <w:t>№ 1901-па от 16.09.2019</w:t>
      </w:r>
    </w:p>
    <w:p w:rsidR="002B6BBC" w:rsidRPr="002B6BBC" w:rsidRDefault="002B6BBC" w:rsidP="002B6BBC">
      <w:pPr>
        <w:pStyle w:val="a3"/>
        <w:jc w:val="center"/>
        <w:rPr>
          <w:b/>
          <w:noProof/>
          <w:color w:val="FF0000"/>
          <w:sz w:val="26"/>
          <w:szCs w:val="26"/>
        </w:rPr>
      </w:pPr>
      <w:r w:rsidRPr="002B6BBC">
        <w:rPr>
          <w:b/>
          <w:noProof/>
          <w:color w:val="FF0000"/>
          <w:sz w:val="26"/>
          <w:szCs w:val="26"/>
        </w:rPr>
        <w:t xml:space="preserve">№ </w:t>
      </w:r>
      <w:r>
        <w:rPr>
          <w:b/>
          <w:noProof/>
          <w:color w:val="FF0000"/>
          <w:sz w:val="26"/>
          <w:szCs w:val="26"/>
        </w:rPr>
        <w:t>785</w:t>
      </w:r>
      <w:r w:rsidRPr="002B6BBC">
        <w:rPr>
          <w:b/>
          <w:noProof/>
          <w:color w:val="FF0000"/>
          <w:sz w:val="26"/>
          <w:szCs w:val="26"/>
        </w:rPr>
        <w:t>-па от 1</w:t>
      </w:r>
      <w:r>
        <w:rPr>
          <w:b/>
          <w:noProof/>
          <w:color w:val="FF0000"/>
          <w:sz w:val="26"/>
          <w:szCs w:val="26"/>
        </w:rPr>
        <w:t>1</w:t>
      </w:r>
      <w:r w:rsidRPr="002B6BBC">
        <w:rPr>
          <w:b/>
          <w:noProof/>
          <w:color w:val="FF0000"/>
          <w:sz w:val="26"/>
          <w:szCs w:val="26"/>
        </w:rPr>
        <w:t>.0</w:t>
      </w:r>
      <w:r>
        <w:rPr>
          <w:b/>
          <w:noProof/>
          <w:color w:val="FF0000"/>
          <w:sz w:val="26"/>
          <w:szCs w:val="26"/>
        </w:rPr>
        <w:t>6</w:t>
      </w:r>
      <w:r w:rsidRPr="002B6BBC">
        <w:rPr>
          <w:b/>
          <w:noProof/>
          <w:color w:val="FF0000"/>
          <w:sz w:val="26"/>
          <w:szCs w:val="26"/>
        </w:rPr>
        <w:t>.20</w:t>
      </w:r>
      <w:r>
        <w:rPr>
          <w:b/>
          <w:noProof/>
          <w:color w:val="FF0000"/>
          <w:sz w:val="26"/>
          <w:szCs w:val="26"/>
        </w:rPr>
        <w:t>20</w:t>
      </w:r>
    </w:p>
    <w:p w:rsidR="002B6BBC" w:rsidRPr="00C90892" w:rsidRDefault="002B6BBC" w:rsidP="002B6BBC">
      <w:pPr>
        <w:pStyle w:val="a3"/>
        <w:jc w:val="right"/>
        <w:rPr>
          <w:b/>
          <w:noProof/>
          <w:color w:val="FF0000"/>
          <w:sz w:val="26"/>
          <w:szCs w:val="26"/>
        </w:rPr>
      </w:pPr>
    </w:p>
    <w:p w:rsidR="00087626" w:rsidRDefault="00087626" w:rsidP="00C24A6E">
      <w:pPr>
        <w:pStyle w:val="a3"/>
        <w:ind w:firstLine="284"/>
        <w:jc w:val="center"/>
        <w:rPr>
          <w:b/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69195B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самоуправления»</w:t>
      </w:r>
      <w:r w:rsidR="006919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87626" w:rsidRDefault="00087626" w:rsidP="00087626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D27" w:rsidRDefault="003636DF" w:rsidP="0069195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7D27" w:rsidRDefault="00087626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проведении конкурсного отбора проектов «Народный бюджет»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Нефтеюганском</w:t>
      </w:r>
      <w:proofErr w:type="gramEnd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="00124660" w:rsidRP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D2CA1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7D27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проведения конкурсного отбора проектов </w:t>
      </w:r>
      <w:r w:rsidR="008C5EE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комиссией Нефтеюганского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8037D9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Состав конкурсной комиссии по отбору проектов </w:t>
      </w:r>
      <w:r w:rsidR="00A65C8C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Нефтеюганского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3. </w:t>
      </w:r>
    </w:p>
    <w:p w:rsidR="00087626" w:rsidRPr="00E85589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87626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Контроль за</w:t>
      </w:r>
      <w:proofErr w:type="gram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C318A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5589" w:rsidRPr="006E07F5" w:rsidRDefault="00E85589" w:rsidP="008C5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457" w:rsidRDefault="003E6457" w:rsidP="0008762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8A8" w:rsidRDefault="00C318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85589" w:rsidRPr="004C2088" w:rsidRDefault="00E85589" w:rsidP="00E8558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CA3" w:rsidRPr="00C74D00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BF7CA3" w:rsidRPr="00503581" w:rsidRDefault="00BF7CA3" w:rsidP="00BF7CA3">
      <w:pPr>
        <w:pStyle w:val="a3"/>
        <w:jc w:val="center"/>
        <w:rPr>
          <w:noProof/>
          <w:sz w:val="26"/>
          <w:szCs w:val="26"/>
        </w:rPr>
      </w:pPr>
      <w:r w:rsidRPr="00C74D00">
        <w:rPr>
          <w:noProof/>
          <w:sz w:val="26"/>
          <w:szCs w:val="26"/>
        </w:rPr>
        <w:t xml:space="preserve">о </w:t>
      </w:r>
      <w:r w:rsidRPr="00503581">
        <w:rPr>
          <w:noProof/>
          <w:sz w:val="26"/>
          <w:szCs w:val="26"/>
        </w:rPr>
        <w:t xml:space="preserve">проведении конкурсного отбора проектов «Народный бюджет» </w:t>
      </w:r>
    </w:p>
    <w:p w:rsidR="00BF7CA3" w:rsidRPr="00503581" w:rsidRDefault="00BF7CA3" w:rsidP="00BF7CA3">
      <w:pPr>
        <w:pStyle w:val="a3"/>
        <w:jc w:val="center"/>
        <w:rPr>
          <w:noProof/>
          <w:sz w:val="26"/>
          <w:szCs w:val="26"/>
        </w:rPr>
      </w:pPr>
      <w:r w:rsidRPr="00503581">
        <w:rPr>
          <w:noProof/>
          <w:sz w:val="26"/>
          <w:szCs w:val="26"/>
        </w:rPr>
        <w:t>в Нефтеюганском районе</w:t>
      </w:r>
    </w:p>
    <w:p w:rsidR="00BF7CA3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 – Положение)</w:t>
      </w:r>
    </w:p>
    <w:p w:rsidR="00BF7CA3" w:rsidRPr="00C74D00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(далее – конкурс) направлен на определение и реализацию социально значимых проектов на территориях муниципальных образований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Нефтеюганского района, прошедших отбор в рамках конкурса.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активизация участия населения муниципальных образований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поддержка инициатив жителей Нефтеюганского района в решении вопросов местного значения.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предоставленные в рамках конкурсного отбора, должны быть направлены на решение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 решаются через реализацию отобранных на конкурсной основе проектов муниципальных образований Нефтеюганского района, инициированных населением.</w:t>
      </w:r>
    </w:p>
    <w:p w:rsidR="00BF7CA3" w:rsidRPr="008543CE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населения о конкурсе осуществляется через средства массовой информации, официальный сайт органов местного самоуправления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многофункциональный центр предоставления государственных и муниципальных услуг.</w:t>
      </w:r>
    </w:p>
    <w:p w:rsidR="00BF7CA3" w:rsidRPr="002A1A50" w:rsidRDefault="009A22C2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Участниками реализации конкурса являются органы местного самоуправления Нефтеюганского района</w:t>
      </w:r>
      <w:r w:rsidR="002A1A50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 </w:t>
      </w:r>
      <w:r w:rsidR="002A1A50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(структурные подразделения органов </w:t>
      </w:r>
      <w:r w:rsidR="002A1A50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lastRenderedPageBreak/>
        <w:t>местного самоуправления Нефтеюганского района) (далее – органы местного самоуправления Нефтеюганского района)</w:t>
      </w:r>
      <w:r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, органы местного самоуправления городского и сельских поселений Нефтеюганского района, население Нефтеюганского района, индивидуальные предприниматели, юридические лица, общественные организации, территориальные общественные самоуправления </w:t>
      </w:r>
      <w:r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br/>
        <w:t>(далее – ТОС), некоммерческие организации</w:t>
      </w:r>
      <w:r w:rsidR="00BF7CA3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 основан на скоординированных действиях участников конкурса.</w:t>
      </w:r>
    </w:p>
    <w:p w:rsidR="00BF7CA3" w:rsidRPr="00C74D00" w:rsidRDefault="009A22C2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472A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Финансирование проектов конкурса осуществляется за счет средств бюджета Нефтеюганского района, бюджетов городского и сельских поселений, населения Нефтеюганского района, индивидуальных предпринимателей, юридических лиц, общественных организаций, ТОС, некоммерческих организаций, нефинансового вклада со стороны населения, индивидуальных предпринимателей, юридических лиц, общественных организаций, ТОС, некоммерческих организаций </w:t>
      </w:r>
      <w:r w:rsidRPr="004A472A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br/>
        <w:t>в реализацию выбранного проекта (трудовое участие, материалы и др. формы).</w:t>
      </w:r>
      <w:proofErr w:type="gramEnd"/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Нефтеюганского района предоставляются в рамках муниципальных программ в соответствии с пунктом 5 настоящего Положения.</w:t>
      </w:r>
    </w:p>
    <w:p w:rsidR="00BF7CA3" w:rsidRPr="00C74D00" w:rsidRDefault="00BF7CA3" w:rsidP="00BF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муниципальных программ 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 также предоставляются на оплату расходов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строительству, восстановлению и ремонту, указанных в настоящем пункте.</w:t>
      </w:r>
    </w:p>
    <w:p w:rsidR="00BF7CA3" w:rsidRPr="00C74D00" w:rsidRDefault="00BF7CA3" w:rsidP="00BF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Pr="00C74D00">
        <w:t xml:space="preserve">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из бюджета Нефтеюганского района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находящихся в муниципальной собственности;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нужд органов местного самоуправления городского и сельских поселений Нефтеюганского района, общественных организаций.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для участия в конкурсе определяются жителями (инициативными группами) и органами местного самоуправления городского и сельских поселений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участников осуществляется в соответствии с порядком проведения конкурсного отбора, утвержденным постановлением администрации Нефтеюганского района.</w:t>
      </w:r>
    </w:p>
    <w:p w:rsidR="00BF7CA3" w:rsidRPr="00C74D00" w:rsidRDefault="0037755E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hAnsi="Times New Roman" w:cs="Times New Roman"/>
          <w:sz w:val="26"/>
          <w:szCs w:val="26"/>
        </w:rPr>
        <w:t>Иные межбюджетные трансферты бюджетам городского и сельских поселений Нефтеюганского района, отобранных по результатам конкурса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3978">
        <w:rPr>
          <w:rFonts w:ascii="Times New Roman" w:hAnsi="Times New Roman" w:cs="Times New Roman"/>
          <w:sz w:val="26"/>
          <w:szCs w:val="26"/>
        </w:rPr>
        <w:t xml:space="preserve"> доводятся поселениям при формировании бюджета на очередной финансовый год и плановый </w:t>
      </w:r>
      <w:r w:rsidRPr="00CC3978">
        <w:rPr>
          <w:rFonts w:ascii="Times New Roman" w:hAnsi="Times New Roman" w:cs="Times New Roman"/>
          <w:sz w:val="26"/>
          <w:szCs w:val="26"/>
        </w:rPr>
        <w:lastRenderedPageBreak/>
        <w:t>период в пределах лимитов бюджетных обязатель</w:t>
      </w:r>
      <w:proofErr w:type="gramStart"/>
      <w:r w:rsidRPr="00CC3978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C3978">
        <w:rPr>
          <w:rFonts w:ascii="Times New Roman" w:hAnsi="Times New Roman" w:cs="Times New Roman"/>
          <w:sz w:val="26"/>
          <w:szCs w:val="26"/>
        </w:rPr>
        <w:t>едусмотренных сводной бюджетной росписью</w:t>
      </w:r>
      <w:r w:rsidR="00BF7CA3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BF7CA3" w:rsidRPr="00AF33BE" w:rsidRDefault="009A22C2" w:rsidP="0037755E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472A">
        <w:rPr>
          <w:rFonts w:ascii="Times New Roman" w:hAnsi="Times New Roman" w:cs="Times New Roman"/>
          <w:sz w:val="26"/>
          <w:szCs w:val="26"/>
          <w:highlight w:val="lightGray"/>
        </w:rPr>
        <w:t xml:space="preserve">Не использованные в результате экономии денежные средства муниципального образования Нефтеюганского района, бюджетов городского </w:t>
      </w:r>
      <w:r w:rsidRPr="004A472A">
        <w:rPr>
          <w:rFonts w:ascii="Times New Roman" w:hAnsi="Times New Roman" w:cs="Times New Roman"/>
          <w:sz w:val="26"/>
          <w:szCs w:val="26"/>
          <w:highlight w:val="lightGray"/>
        </w:rPr>
        <w:br/>
        <w:t xml:space="preserve">и сельских поселений Нефтеюганского района, населения Нефтеюганского района, индивидуальных предпринимателей, юридических лиц, общественных организаций, ТОС, </w:t>
      </w:r>
      <w:r w:rsidRPr="004A472A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некоммерческих организаций</w:t>
      </w:r>
      <w:r w:rsidRPr="004A472A">
        <w:rPr>
          <w:rFonts w:ascii="Times New Roman" w:hAnsi="Times New Roman" w:cs="Times New Roman"/>
          <w:sz w:val="26"/>
          <w:szCs w:val="26"/>
          <w:highlight w:val="lightGray"/>
        </w:rPr>
        <w:t xml:space="preserve"> направляются на те же объекты, а в случае отсутствия необходимости направляются на благоустройство дворовых территорий многоквартирных домов (обеспечение освещения дворовых территорий, установка скамеек, установка урн для мусора, ремонт дворовых проездов</w:t>
      </w:r>
      <w:proofErr w:type="gramEnd"/>
      <w:r w:rsidRPr="004A472A">
        <w:rPr>
          <w:rFonts w:ascii="Times New Roman" w:hAnsi="Times New Roman" w:cs="Times New Roman"/>
          <w:sz w:val="26"/>
          <w:szCs w:val="26"/>
          <w:highlight w:val="lightGray"/>
        </w:rPr>
        <w:t>, озеленение территории, иные виды работ). 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</w:t>
      </w:r>
      <w:r w:rsidRPr="004A472A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иных межбюджетных трансфертов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вопросам местного самоуправления и обращениям граждан администрации Нефтеюганского района:  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организатором конкурсного отбора и определяет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его подготовку;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финансов Нефтеюганского района: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проекта со стороны бюджета Нефтеюганского района;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прием отчетов о завершении проектов. 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 осуществляют контроль целевого использования иных межбюджетных трансфертов бюджета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строительства и жилищно-коммунального комплекса Нефтеюганского района, муниципальное казенное учреждение «Управление капитального строительства и жилищно-коммунального комплекса Нефтеюганского района» оказывают содействие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сельским поселениям Нефтеюганского района в подготовке и проверке сметной документации.</w:t>
      </w:r>
    </w:p>
    <w:p w:rsidR="00BF7CA3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проекта не ограничена, сумма иных межбюджетных трансфертов бюджетам городского и сельских поселений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Нефтеюганского района для софинанасирования проекта городского, сельских поселений не должна превышать 1,5 млн. рублей.</w:t>
      </w:r>
    </w:p>
    <w:p w:rsidR="00F9681C" w:rsidRDefault="00F9681C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 проекта из бюджета городского и сельских поселений не может превышать 10% от общей стоимости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81C" w:rsidRPr="00C74D00" w:rsidRDefault="00347B50" w:rsidP="00347B50">
      <w:pPr>
        <w:pStyle w:val="a4"/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r w:rsidRPr="00347B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При подготовке проекта необходимо за счет общей стоимости проекта предусмотреть изготовление и размещение на объекте (или рядом с объектом) </w:t>
      </w:r>
      <w:r w:rsidRPr="00347B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lastRenderedPageBreak/>
        <w:t>логотипа собственного бренда Нефтеюганского района используя таблички, вспомогательные указатели, баннеры, трафареты, символы, знаки и т.п., помогающие повысить узнаваемость бренда (логотипа) Нефтеюганского района. Размещение логотипа возможно на всех реализованных проектах.</w:t>
      </w:r>
    </w:p>
    <w:p w:rsidR="00BF7CA3" w:rsidRPr="00C74D00" w:rsidRDefault="00BF7CA3" w:rsidP="00BF7CA3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C7BE0" w:rsidRPr="004C2088" w:rsidRDefault="007C7BE0" w:rsidP="007C7BE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A913AE" w:rsidRPr="00EF6434" w:rsidRDefault="00A913AE" w:rsidP="00A913AE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13AE" w:rsidRPr="00EF6434" w:rsidRDefault="00A913AE" w:rsidP="00A913AE">
      <w:pPr>
        <w:keepNext/>
        <w:keepLines/>
        <w:spacing w:after="57" w:line="25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bookmarkEnd w:id="0"/>
    <w:p w:rsidR="0080775A" w:rsidRPr="0068733E" w:rsidRDefault="0080775A" w:rsidP="0080775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80775A" w:rsidRPr="0068733E" w:rsidRDefault="0080775A" w:rsidP="0080775A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:rsidR="0080775A" w:rsidRPr="0068733E" w:rsidRDefault="0080775A" w:rsidP="0080775A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</w:t>
      </w:r>
      <w:proofErr w:type="gramStart"/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proofErr w:type="gramEnd"/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proofErr w:type="gramStart"/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</w:t>
      </w:r>
      <w:proofErr w:type="gramEnd"/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администрации Нефтеюганского района (далее – Управление).</w:t>
      </w:r>
    </w:p>
    <w:p w:rsidR="0080775A" w:rsidRPr="002A1A50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highlight w:val="lightGray"/>
          <w:lang w:val="ru" w:eastAsia="ru-RU"/>
        </w:rPr>
      </w:pPr>
      <w:r w:rsidRPr="002A1A50">
        <w:rPr>
          <w:rFonts w:ascii="Times New Roman" w:eastAsia="Times New Roman" w:hAnsi="Times New Roman" w:cs="Times New Roman"/>
          <w:iCs/>
          <w:sz w:val="26"/>
          <w:szCs w:val="26"/>
          <w:highlight w:val="lightGray"/>
          <w:lang w:val="ru" w:eastAsia="ru-RU"/>
        </w:rPr>
        <w:t xml:space="preserve">Право на участие в конкурсном отборе имеют проекты, подготовленные населением муниципальных образований Нефтеюганского района, общественными организациями, территориальными общественными самоуправлениями (далее – </w:t>
      </w:r>
      <w:r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ТОС)</w:t>
      </w:r>
      <w:r w:rsidR="002A1A50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, </w:t>
      </w:r>
      <w:r w:rsidR="002A1A50"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некоммерческими организациями</w:t>
      </w:r>
      <w:r w:rsid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>,</w:t>
      </w:r>
      <w:r w:rsidRPr="002A1A50"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t xml:space="preserve"> </w:t>
      </w:r>
      <w:r w:rsidRPr="002A1A50">
        <w:rPr>
          <w:rFonts w:ascii="Times New Roman" w:eastAsia="Times New Roman" w:hAnsi="Times New Roman" w:cs="Times New Roman"/>
          <w:iCs/>
          <w:sz w:val="26"/>
          <w:szCs w:val="26"/>
          <w:highlight w:val="lightGray"/>
          <w:lang w:val="ru" w:eastAsia="ru-RU"/>
        </w:rPr>
        <w:t>осуществляющими свою деятельность на территории Нефтеюганского района (далее – участники конкурсного отбора).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80775A" w:rsidRPr="0068733E" w:rsidRDefault="0080775A" w:rsidP="00807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Управление: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текущего финансового г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о проведении конкурсного отбора и размещает его на официальном сайте органов местного самоуправления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окончания приема заявок на участие в конкурсном отборе.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 xml:space="preserve">Для участия в конкурсном отборе участники конкурсного отбора направляют в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Заявку для участия в конкурсном отборе проектов «Народный бюджет»  по форме 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Модельный протокол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к настоящему Порядку.</w:t>
      </w:r>
    </w:p>
    <w:p w:rsidR="0080775A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>Документы, удостоверяющие право собственности на объек</w:t>
      </w:r>
      <w:proofErr w:type="gramStart"/>
      <w:r w:rsidRPr="0068733E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68733E">
        <w:rPr>
          <w:rFonts w:ascii="Times New Roman" w:hAnsi="Times New Roman" w:cs="Times New Roman"/>
          <w:sz w:val="26"/>
          <w:szCs w:val="26"/>
        </w:rPr>
        <w:t xml:space="preserve">ы), </w:t>
      </w:r>
      <w:r w:rsidRPr="0068733E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Опись в получении документов, представленных на конкурсный отбор проектов «Народный бюджет»,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 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прикладывается к заявке при наличии).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Дизайн-проект и (или) эскиз проекта.</w:t>
      </w:r>
    </w:p>
    <w:p w:rsidR="0080775A" w:rsidRPr="006D4F81" w:rsidRDefault="0080775A" w:rsidP="0080775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2.2.10. 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проектов «Народный бюджет» с указанием объема средств, привлекаемых для реализации проекта.</w:t>
      </w:r>
    </w:p>
    <w:p w:rsidR="0080775A" w:rsidRPr="006D4F81" w:rsidRDefault="0080775A" w:rsidP="0080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водоотведения, разработку зон санитарной защиты скважин.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F81">
        <w:rPr>
          <w:rFonts w:ascii="Times New Roman" w:hAnsi="Times New Roman" w:cs="Times New Roman"/>
          <w:sz w:val="26"/>
          <w:szCs w:val="26"/>
        </w:rPr>
        <w:t xml:space="preserve">К проекту, связанному со строительством, реконструкцией, капитальным ремонтом объекта капитального строительства, прилагается заключение </w:t>
      </w:r>
      <w:r w:rsidRPr="006D4F81">
        <w:rPr>
          <w:rFonts w:ascii="Times New Roman" w:hAnsi="Times New Roman" w:cs="Times New Roman"/>
          <w:sz w:val="26"/>
          <w:szCs w:val="26"/>
        </w:rPr>
        <w:br/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80775A" w:rsidRDefault="0080775A" w:rsidP="008077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F81">
        <w:rPr>
          <w:rFonts w:ascii="Times New Roman" w:hAnsi="Times New Roman" w:cs="Times New Roman"/>
          <w:sz w:val="26"/>
          <w:szCs w:val="26"/>
        </w:rPr>
        <w:tab/>
        <w:t>К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:rsidR="002E5FD6" w:rsidRPr="006D4F81" w:rsidRDefault="002E5FD6" w:rsidP="008077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62027">
        <w:rPr>
          <w:rFonts w:ascii="Times New Roman" w:hAnsi="Times New Roman" w:cs="Times New Roman"/>
          <w:sz w:val="26"/>
          <w:szCs w:val="26"/>
          <w:highlight w:val="lightGray"/>
        </w:rPr>
        <w:t>2.3.4. Проект должен быть разработан с учетом генеральных планов поселений Нефтеюганского района.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С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рок подачи заявок на конкурсный отбор проектов на предоставление иных межбюджетных трансфертов составляет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1 календарных дней с момента размещения  извещения о проведении конкурсного отбора 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календарных дней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до даты проведения конкурсного отбора имеют право отозвать свой проект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отказаться от участия в конкурсном отборе, сообщив об этом в письменном виде организатору конкурсного отбора.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Управление проект для участия в конкурсном отборе подлежит регистрации в журнале проектов под порядковым номером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proofErr w:type="gramStart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proofErr w:type="gramEnd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проект представлен с нарушением требований, установленных пунктами 2.2, 2.3, 2.4 настоящего Порядка, проект к участию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конкурсном отборе не допускается, при этом Управление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участники конкурса обязаны представить отчет о завершении проекта согласно приложению № 5 к настоящему Порядку не позднее 01 февраля года, следующего </w:t>
      </w:r>
      <w:proofErr w:type="gramStart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за</w:t>
      </w:r>
      <w:proofErr w:type="gramEnd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отчетным. </w:t>
      </w:r>
    </w:p>
    <w:p w:rsidR="0080775A" w:rsidRPr="0068733E" w:rsidRDefault="0080775A" w:rsidP="0080775A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Комиссия и порядок ее работы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№ 6 к настоящему Порядку.</w:t>
      </w:r>
    </w:p>
    <w:p w:rsidR="0080775A" w:rsidRPr="0068733E" w:rsidRDefault="0080775A" w:rsidP="0080775A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Определяет перечень проектов – победителей конкурсного отбора согласно рейтингу, сформированному по установленным критериям. </w:t>
      </w:r>
      <w:r w:rsidRPr="00D22F3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Единственный участник конкурса,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заявка которого соответствует требованиям, признается победителем конкурса без расчета рейтинга. 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>деятельности. Комиссия может привлекать к участию в дополнительных работах необходимых специалистов.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заседания комиссии, который подписывается всеми лицами, входящими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состав Комиссии, принявшими участие в голосовании.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Лица, принявшие участие в заседании комиссии.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от каждого населенного пункта Нефтеюганского района не  ограничено.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рейтингом.</w:t>
      </w:r>
    </w:p>
    <w:p w:rsidR="0080775A" w:rsidRPr="0068733E" w:rsidRDefault="00982AD1" w:rsidP="00982A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ab/>
      </w:r>
      <w:r w:rsidRPr="006B1740">
        <w:rPr>
          <w:rFonts w:ascii="Times New Roman" w:eastAsia="Times New Roman" w:hAnsi="Times New Roman" w:cs="Times New Roman"/>
          <w:iCs/>
          <w:sz w:val="26"/>
          <w:szCs w:val="26"/>
          <w:highlight w:val="lightGray"/>
          <w:lang w:val="ru" w:eastAsia="ru-RU"/>
        </w:rPr>
        <w:t>При формировании рейтинга для определения получателей иных межбюджетных трансфертов бюджетам городского и сельских поселений Нефтеюганского района не учитываются проекты, направленные на конкурсный отбор органами местного самоуправления Нефтеюганского района.</w:t>
      </w:r>
      <w:bookmarkStart w:id="1" w:name="_GoBack"/>
      <w:bookmarkEnd w:id="1"/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инициативной группы:________________________________________________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</w:t>
      </w:r>
      <w:proofErr w:type="spell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>в Российской Федерации»)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Общая стоимость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80775A" w:rsidRPr="0068733E" w:rsidTr="00A06DD0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75A" w:rsidRPr="0068733E" w:rsidRDefault="0080775A" w:rsidP="00A0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80775A" w:rsidRPr="0068733E" w:rsidTr="00A06D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80775A" w:rsidRPr="0068733E" w:rsidTr="00A06DD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75A" w:rsidRPr="0068733E" w:rsidTr="00A06DD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A06DD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A06DD0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A06DD0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A06DD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 xml:space="preserve">4.3. Проект направлен </w:t>
      </w:r>
      <w:proofErr w:type="gramStart"/>
      <w:r w:rsidRPr="006873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733E">
        <w:rPr>
          <w:rFonts w:ascii="Times New Roman" w:hAnsi="Times New Roman" w:cs="Times New Roman"/>
          <w:sz w:val="24"/>
          <w:szCs w:val="24"/>
        </w:rPr>
        <w:t xml:space="preserve"> </w:t>
      </w:r>
      <w:r w:rsidRPr="0068733E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8733E">
        <w:rPr>
          <w:rFonts w:ascii="Times New Roman" w:hAnsi="Times New Roman" w:cs="Times New Roman"/>
          <w:sz w:val="24"/>
          <w:szCs w:val="24"/>
        </w:rPr>
        <w:t>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 объекта капитального строительства;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Характеристика проекта в соответствии с критериями отбора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Планируемые источники финансирования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4A472A" w:rsidRPr="004A472A" w:rsidTr="00A06DD0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№ </w:t>
            </w:r>
            <w:proofErr w:type="gramStart"/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п</w:t>
            </w:r>
            <w:proofErr w:type="gramEnd"/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Сумма</w:t>
            </w: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Доля в общей сумме проекта</w:t>
            </w:r>
            <w:proofErr w:type="gramStart"/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(%)</w:t>
            </w:r>
            <w:proofErr w:type="gramEnd"/>
          </w:p>
        </w:tc>
      </w:tr>
      <w:tr w:rsidR="004A472A" w:rsidRPr="004A472A" w:rsidTr="00A06DD0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4</w:t>
            </w:r>
          </w:p>
        </w:tc>
      </w:tr>
      <w:tr w:rsidR="004A472A" w:rsidRPr="004A472A" w:rsidTr="00A06DD0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Средства бюджета поселения</w:t>
            </w:r>
            <w:r w:rsidRPr="004A47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3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4A472A" w:rsidRPr="004A472A" w:rsidTr="00A06DD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4A472A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4A472A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*Средства бюджета городского и сельских поселений не могут превышать 10% от общей стоимости проекта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6D4F81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 ________________человек.</w:t>
      </w:r>
    </w:p>
    <w:p w:rsidR="0080775A" w:rsidRPr="006D4F81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благополучателей: ___________человек,  в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благополучателей: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благополучателями</w:t>
      </w:r>
      <w:proofErr w:type="spellEnd"/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будут являться жители этой и прилегающих улиц, которые регулярно ходят или ездят по этой улице))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___________человек,  в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07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4A472A" w:rsidRPr="000711F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Участие населения, индивидуальных предпринимателей, юридических лиц, общественных организаций, ТОС, некоммерческих организаций, (трудовое участие, материалы и др. формы) в реализации проекта</w:t>
      </w:r>
      <w:r w:rsidR="004A472A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5.9. Наличие мероприятий по уменьшению негативного воздействия на состояние окружающей среды_______________________________________________________________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Направление проекта</w:t>
      </w:r>
      <w:r w:rsidRPr="006D4F81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6D4F81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D4F81">
        <w:rPr>
          <w:rFonts w:ascii="Times New Roman" w:hAnsi="Times New Roman" w:cs="Times New Roman"/>
          <w:sz w:val="24"/>
          <w:szCs w:val="24"/>
        </w:rPr>
        <w:t>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направлен;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не направлен.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Наличие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эскиза________________________________________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 (в соответствии с п.2.2.6)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6873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____________________________(месяцев, дней)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Модельный ПРОТОКОЛ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«_____»______________20____г.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</w:t>
      </w:r>
      <w:proofErr w:type="spellStart"/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ч.________мин</w:t>
      </w:r>
      <w:proofErr w:type="spellEnd"/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адресу:_______________________________________, </w:t>
      </w:r>
      <w:proofErr w:type="spell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_________________________________________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_______________________________________________(Ф.И.О.)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______________________________________________________(Ф.И.О.)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 решения по вопросу подачи заявки для участия проекта ______________ в конкурсном отборе проектов «Народный бюджет».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перечня и объемов работ проекта 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проекта)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Вопрос местного значения, на решение которого направлен Проект:________________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8733E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  <w:proofErr w:type="gramEnd"/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решения о размере доли софинансирования  населения, юридических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физических лиц, индивидуальных предпринимателей (спонсоров),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07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11FB" w:rsidRPr="005E5C45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некоммерческих организаций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решения о порядке и сроках сбора средств софинансирования проекта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конкурсного отбора проектов «Народный бюджет».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состава инициативной группы.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подать заявку для участия проекта _____________ в конкурсном отборе проектов «Народный бюджет».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доложил(ла) о перечне  работ проекта ____________________________________________________________.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(ПОДРОБНО ПРОПИСАТЬ РАБОТЫ, КОТОРЫЕ ОТНОСЯТСЯ К ДАННОМУ ПРОЕКТУ</w:t>
      </w:r>
      <w:proofErr w:type="gramStart"/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)</w:t>
      </w:r>
      <w:proofErr w:type="gramEnd"/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размер доли софинансирования населения,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соотношении к общей стоимости проекта______________________.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 вопросу слушали______________________,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доложил(ла) о порядке и сроках сбора средств софинансирования проекта в рамках конкурсного отбора проектов «Народный бюджет».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 вопросу слушали ________________________,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80775A" w:rsidRPr="0068733E" w:rsidRDefault="0080775A" w:rsidP="0080775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hAnsi="Times New Roman" w:cs="Times New Roman"/>
          <w:b/>
          <w:sz w:val="26"/>
          <w:szCs w:val="26"/>
        </w:rPr>
        <w:t>к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об участии в конкурсном отборе проектов «Народный бюджет»</w:t>
      </w:r>
    </w:p>
    <w:p w:rsidR="0080775A" w:rsidRPr="0068733E" w:rsidRDefault="0080775A" w:rsidP="0080775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6873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8733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Подпись, дата</w:t>
            </w: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FC4762" w:rsidRDefault="00FC4762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в получении документов, представленных на конкурсный отбор проектов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сот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ел.____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(Фамилия, имя, отчество)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:rsidR="0080775A" w:rsidRPr="0068733E" w:rsidRDefault="0080775A" w:rsidP="0080775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0775A" w:rsidRPr="0068733E" w:rsidTr="00A06DD0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№ п\</w:t>
            </w:r>
            <w:proofErr w:type="gramStart"/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80775A" w:rsidRPr="0068733E" w:rsidTr="00A06DD0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:rsidR="0080775A" w:rsidRPr="0068733E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:rsidR="0080775A" w:rsidRPr="0068733E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Дата приема документов  «____»_____________20___г.</w:t>
      </w:r>
    </w:p>
    <w:p w:rsidR="0080775A" w:rsidRPr="0068733E" w:rsidRDefault="0080775A" w:rsidP="0080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75A" w:rsidRPr="0068733E" w:rsidSect="00A06DD0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80775A" w:rsidRPr="0068733E" w:rsidRDefault="0080775A" w:rsidP="0080775A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проектов «Народный бюджет» 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комиссией Нефтеюганского района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завершении проекта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Нефтеюганского района: _____________________________________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поступлении денежных средств из источников финансирования: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80775A" w:rsidRPr="005E5C45" w:rsidTr="00A06DD0">
        <w:trPr>
          <w:trHeight w:val="510"/>
        </w:trPr>
        <w:tc>
          <w:tcPr>
            <w:tcW w:w="737" w:type="dxa"/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№ </w:t>
            </w:r>
            <w:proofErr w:type="gramStart"/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п</w:t>
            </w:r>
            <w:proofErr w:type="gramEnd"/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 xml:space="preserve">Сумма, предусмотренная </w:t>
            </w:r>
            <w:r w:rsidRPr="005E5C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t xml:space="preserve">Отношение факта </w:t>
            </w:r>
            <w:r w:rsidRPr="005E5C4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  <w:lang w:eastAsia="ru-RU"/>
              </w:rPr>
              <w:br/>
              <w:t>к плану*, %</w:t>
            </w:r>
          </w:p>
        </w:tc>
      </w:tr>
      <w:tr w:rsidR="0080775A" w:rsidRPr="005E5C45" w:rsidTr="00A06DD0">
        <w:trPr>
          <w:trHeight w:val="265"/>
        </w:trPr>
        <w:tc>
          <w:tcPr>
            <w:tcW w:w="737" w:type="dxa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  <w:t>5=4/3</w:t>
            </w:r>
          </w:p>
        </w:tc>
      </w:tr>
      <w:tr w:rsidR="005E5C45" w:rsidRPr="005E5C45" w:rsidTr="005E5C45">
        <w:trPr>
          <w:trHeight w:val="96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Средства бюджета поселения</w:t>
            </w:r>
            <w:r w:rsidRPr="005E5C4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*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5E5C45" w:rsidRPr="005E5C45" w:rsidTr="005E5C45">
        <w:trPr>
          <w:trHeight w:val="463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населения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5E5C45" w:rsidRPr="005E5C45" w:rsidTr="005E5C45">
        <w:trPr>
          <w:trHeight w:val="360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5E5C45" w:rsidRPr="005E5C45" w:rsidTr="005E5C45">
        <w:trPr>
          <w:trHeight w:val="246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5E5C45" w:rsidRPr="005E5C45" w:rsidTr="005E5C45">
        <w:trPr>
          <w:trHeight w:val="246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5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5E5C45" w:rsidRPr="005E5C45" w:rsidTr="005E5C45">
        <w:trPr>
          <w:trHeight w:val="246"/>
        </w:trPr>
        <w:tc>
          <w:tcPr>
            <w:tcW w:w="737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6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E5C45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80775A" w:rsidRPr="006D4F81" w:rsidTr="005E5C45">
        <w:trPr>
          <w:trHeight w:val="278"/>
        </w:trPr>
        <w:tc>
          <w:tcPr>
            <w:tcW w:w="737" w:type="dxa"/>
            <w:vAlign w:val="center"/>
          </w:tcPr>
          <w:p w:rsidR="0080775A" w:rsidRPr="005E5C45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E5C45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C4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0775A" w:rsidRPr="006D4F81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6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* Может быть больше 100% в случае, если фактическое поступление средств больше суммы, предусмотренной в соглашении и за счет остатков.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Неоплачиваемый вклад населения и юридических лиц (описание):</w:t>
      </w:r>
      <w:r w:rsidRPr="0068733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75A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об итогах реализации проекта: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проекта: 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 о приемке выполненных работ по проекту: 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подготовки настоящего отчета: 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(не позднее 01 февраля года следующего за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Calibri" w:hAnsi="Times New Roman" w:cs="Times New Roman"/>
          <w:sz w:val="24"/>
        </w:rPr>
        <w:t>Руководитель инициативной группы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 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rPr>
          <w:rFonts w:ascii="Calibri" w:eastAsia="Calibri" w:hAnsi="Calibri" w:cs="Times New Roman"/>
          <w:sz w:val="24"/>
        </w:rPr>
        <w:sectPr w:rsidR="0080775A" w:rsidRPr="0068733E" w:rsidSect="00A06DD0">
          <w:pgSz w:w="16838" w:h="11906" w:orient="landscape"/>
          <w:pgMar w:top="1418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80775A" w:rsidRPr="0068733E" w:rsidRDefault="0080775A" w:rsidP="0080775A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80775A" w:rsidRPr="0068733E" w:rsidRDefault="0080775A" w:rsidP="0080775A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80775A" w:rsidRPr="0068733E" w:rsidRDefault="0080775A" w:rsidP="0080775A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80775A" w:rsidRPr="006D4F81" w:rsidTr="00A06DD0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80775A" w:rsidRPr="0068733E" w:rsidRDefault="0080775A" w:rsidP="00A0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0775A" w:rsidRPr="006D4F81" w:rsidTr="00A06DD0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5A" w:rsidRPr="006D4F81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5A" w:rsidRPr="006D4F81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A06DD0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80775A" w:rsidRPr="006D4F81" w:rsidTr="00A06DD0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бюджета Нефтеюганского района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A06DD0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75A" w:rsidRPr="006D4F81" w:rsidTr="00A06DD0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75A" w:rsidRPr="006D4F81" w:rsidTr="00A06DD0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6D4F81" w:rsidTr="00A06DD0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A06DD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средств населения в денежной форме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A06DD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A06DD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75A" w:rsidRPr="006D4F81" w:rsidTr="00A06DD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75A" w:rsidRPr="006D4F81" w:rsidTr="00A06DD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форме (процентов 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A06DD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75A" w:rsidRPr="006D4F81" w:rsidTr="00A06DD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A06DD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6D4F81" w:rsidTr="00A06DD0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A06DD0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D4F81" w:rsidTr="00165880">
        <w:trPr>
          <w:trHeight w:val="21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1.4.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Уровень финансирования проекта за счет средств общественных организаций, ТОС (процентов 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15</w:t>
            </w:r>
          </w:p>
        </w:tc>
      </w:tr>
      <w:tr w:rsidR="00F13F31" w:rsidRPr="006D4F81" w:rsidTr="00165880">
        <w:trPr>
          <w:trHeight w:val="2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12</w:t>
            </w:r>
          </w:p>
        </w:tc>
      </w:tr>
      <w:tr w:rsidR="00F13F31" w:rsidRPr="006D4F81" w:rsidTr="00165880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10</w:t>
            </w:r>
          </w:p>
        </w:tc>
      </w:tr>
      <w:tr w:rsidR="00F13F31" w:rsidRPr="006D4F81" w:rsidTr="00165880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6</w:t>
            </w:r>
          </w:p>
        </w:tc>
      </w:tr>
      <w:tr w:rsidR="00F13F31" w:rsidRPr="006D4F81" w:rsidTr="00165880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4</w:t>
            </w:r>
          </w:p>
        </w:tc>
      </w:tr>
      <w:tr w:rsidR="00F13F31" w:rsidRPr="006D4F81" w:rsidTr="00F13F31">
        <w:trPr>
          <w:trHeight w:val="3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1.5.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 xml:space="preserve">Уровень финансирования проекта за счет поступлений от некоммерческих организаций (процентов 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15</w:t>
            </w:r>
          </w:p>
        </w:tc>
      </w:tr>
      <w:tr w:rsidR="00F13F31" w:rsidRPr="006D4F81" w:rsidTr="00F13F31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12</w:t>
            </w:r>
          </w:p>
        </w:tc>
      </w:tr>
      <w:tr w:rsidR="00F13F31" w:rsidRPr="006D4F81" w:rsidTr="00F13F31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10</w:t>
            </w:r>
          </w:p>
        </w:tc>
      </w:tr>
      <w:tr w:rsidR="00F13F31" w:rsidRPr="006D4F81" w:rsidTr="00F13F31">
        <w:trPr>
          <w:trHeight w:val="3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6</w:t>
            </w:r>
          </w:p>
        </w:tc>
      </w:tr>
      <w:tr w:rsidR="00F13F31" w:rsidRPr="006D4F81" w:rsidTr="00F13F31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392AEC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</w:pPr>
            <w:r w:rsidRPr="00392AEC">
              <w:rPr>
                <w:rFonts w:ascii="Times New Roman" w:eastAsia="Times New Roman" w:hAnsi="Times New Roman" w:cs="Times New Roman"/>
                <w:sz w:val="26"/>
                <w:szCs w:val="24"/>
                <w:highlight w:val="lightGray"/>
              </w:rPr>
              <w:t>4</w:t>
            </w:r>
          </w:p>
        </w:tc>
      </w:tr>
      <w:tr w:rsidR="00F13F31" w:rsidRPr="006D4F81" w:rsidTr="00A06DD0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F13F31" w:rsidRPr="006D4F81" w:rsidTr="00A06DD0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участия населения в определении проблемы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подготовке проекта согласно протоколу собрания граждан (процентов от общего числа жителей населенных пунктов Нефтеюганского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6D4F81" w:rsidTr="00A06DD0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F31" w:rsidRPr="006D4F81" w:rsidTr="00A06DD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D4F81" w:rsidTr="00A06DD0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F31" w:rsidRPr="006D4F81" w:rsidTr="00A06DD0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F31" w:rsidRPr="006D4F81" w:rsidTr="00A06DD0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F31" w:rsidRPr="006D4F81" w:rsidTr="00A06DD0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D4F81" w:rsidTr="00A06DD0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D4F81" w:rsidTr="00A06DD0">
        <w:trPr>
          <w:trHeight w:val="3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дизайн проекта и (или) эскиза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F31" w:rsidRPr="006D4F81" w:rsidTr="00A06DD0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A6276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A6276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D4F81" w:rsidTr="00A06DD0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F13F31" w:rsidRPr="006D4F81" w:rsidTr="00A06DD0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получающего выгоду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реализации  проекта (прямых благополучателей) (процентов от общего числа жителей населенных пунктов Нефтеюганского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6D4F81" w:rsidTr="00A06DD0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D4F81" w:rsidTr="00A06DD0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F31" w:rsidRPr="006D4F81" w:rsidTr="00A06DD0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D4F81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F31" w:rsidRPr="0068733E" w:rsidTr="00A06DD0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населения и юридических лиц (неоплачиваемый труд, материалы и др. формы)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504AC0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504AC0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68733E" w:rsidTr="00A06DD0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направлен на благоустройство дворовых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9E2EB0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9E2EB0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5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8733E" w:rsidTr="00A06DD0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8733E" w:rsidTr="00A06DD0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F13F31" w:rsidRPr="0068733E" w:rsidTr="00A06DD0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FF23DD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FF23DD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8733E" w:rsidTr="00A06DD0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8733E" w:rsidTr="00A06DD0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F31" w:rsidRPr="00FF23DD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F31" w:rsidRPr="00FF23DD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68733E" w:rsidTr="00A06DD0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F31" w:rsidRPr="0068733E" w:rsidTr="00A06DD0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68733E" w:rsidTr="00A06DD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31" w:rsidRPr="0068733E" w:rsidRDefault="00F13F31" w:rsidP="00F1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F13F31" w:rsidRPr="0068733E" w:rsidTr="00A06DD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F31" w:rsidRPr="0068733E" w:rsidRDefault="00F13F31" w:rsidP="00F1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Максимальное колич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ество баллов: 18</w:t>
            </w:r>
            <w:r w:rsidRPr="00FC4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0</w:t>
            </w:r>
          </w:p>
        </w:tc>
      </w:tr>
    </w:tbl>
    <w:p w:rsidR="0080775A" w:rsidRPr="0068733E" w:rsidRDefault="0080775A" w:rsidP="0080775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 Исходные данные для проведения оценки предоставляют поселения Нефтеюганского района.</w:t>
      </w:r>
    </w:p>
    <w:p w:rsidR="0080775A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Нефтеюганского района по состоянию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- Югре. </w:t>
      </w: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0072C" w:rsidRDefault="0060072C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833AA6" w:rsidRPr="004C2088" w:rsidRDefault="00833AA6" w:rsidP="00833AA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B96AF0" w:rsidRPr="00116665" w:rsidRDefault="00B96AF0" w:rsidP="00B96AF0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847C7C" w:rsidRDefault="00847C7C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F36" w:rsidRPr="00C74D00" w:rsidRDefault="00906F36" w:rsidP="00906F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Председатель Комиссии</w:t>
      </w:r>
      <w:r w:rsidRPr="00C74D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финансов – заместите</w:t>
      </w:r>
      <w:r>
        <w:rPr>
          <w:rFonts w:ascii="Times New Roman" w:eastAsia="Times New Roman" w:hAnsi="Times New Roman"/>
          <w:sz w:val="26"/>
          <w:szCs w:val="26"/>
        </w:rPr>
        <w:t>ль главы Нефтеюганского района</w:t>
      </w:r>
    </w:p>
    <w:p w:rsidR="00906F36" w:rsidRPr="00C74D00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заместитель председателя Комиссии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06F36" w:rsidRPr="00C74D00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FB3">
        <w:rPr>
          <w:rFonts w:ascii="Times New Roman" w:hAnsi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hAnsi="Times New Roman"/>
          <w:sz w:val="26"/>
          <w:szCs w:val="26"/>
        </w:rPr>
        <w:t>эксперт управления по вопросам местного самоуправления и обращениям граждан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906F36" w:rsidRPr="00C74D00" w:rsidRDefault="00906F36" w:rsidP="00906F3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F36" w:rsidRPr="002D5FB3" w:rsidRDefault="00906F36" w:rsidP="00906F36">
      <w:pPr>
        <w:ind w:firstLine="709"/>
        <w:rPr>
          <w:b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имущественных отношений – заместитель главы 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spacing w:val="-4"/>
          <w:sz w:val="26"/>
          <w:szCs w:val="26"/>
        </w:rPr>
        <w:t>директор департамента строительства и жилищно-коммунального комплекса –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 заместитель главы Нефтеюганского района  </w:t>
      </w:r>
    </w:p>
    <w:p w:rsidR="00906F36" w:rsidRPr="00C74D00" w:rsidRDefault="00982AD1" w:rsidP="00982AD1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982AD1">
        <w:rPr>
          <w:rFonts w:ascii="Times New Roman" w:eastAsia="Times New Roman" w:hAnsi="Times New Roman"/>
          <w:sz w:val="26"/>
          <w:szCs w:val="26"/>
        </w:rPr>
        <w:t>председатель комитета по градостроительству администрации 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начальник управления по вопросам местного самоуправления и обращениям  граждан администрации 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заместитель директора департамента строительства и жилищно-коммунального комплекса Нефтеюганского района</w:t>
      </w:r>
    </w:p>
    <w:p w:rsidR="00906F36" w:rsidRPr="002D5FB3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представитель совета депутатов  поселений, представитель муниципального образования поселения (по согласованию).</w:t>
      </w:r>
    </w:p>
    <w:p w:rsidR="00087626" w:rsidRPr="00833AA6" w:rsidRDefault="00087626" w:rsidP="00906F36">
      <w:pPr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sectPr w:rsidR="00087626" w:rsidRPr="00833AA6" w:rsidSect="0069195B"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D0" w:rsidRDefault="00A06DD0" w:rsidP="00D6609B">
      <w:pPr>
        <w:spacing w:after="0" w:line="240" w:lineRule="auto"/>
      </w:pPr>
      <w:r>
        <w:separator/>
      </w:r>
    </w:p>
  </w:endnote>
  <w:endnote w:type="continuationSeparator" w:id="0">
    <w:p w:rsidR="00A06DD0" w:rsidRDefault="00A06DD0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D0" w:rsidRDefault="00A06DD0">
    <w:pPr>
      <w:pStyle w:val="a9"/>
      <w:jc w:val="center"/>
    </w:pPr>
  </w:p>
  <w:p w:rsidR="00A06DD0" w:rsidRDefault="00A06D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D0" w:rsidRDefault="00A06DD0">
    <w:pPr>
      <w:pStyle w:val="a9"/>
      <w:jc w:val="center"/>
    </w:pPr>
  </w:p>
  <w:p w:rsidR="00A06DD0" w:rsidRDefault="00A06D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D0" w:rsidRDefault="00A06DD0" w:rsidP="00D6609B">
      <w:pPr>
        <w:spacing w:after="0" w:line="240" w:lineRule="auto"/>
      </w:pPr>
      <w:r>
        <w:separator/>
      </w:r>
    </w:p>
  </w:footnote>
  <w:footnote w:type="continuationSeparator" w:id="0">
    <w:p w:rsidR="00A06DD0" w:rsidRDefault="00A06DD0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6DD0" w:rsidRPr="00E85589" w:rsidRDefault="00A06DD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74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DD0" w:rsidRDefault="00A06D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70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6DD0" w:rsidRPr="00E31902" w:rsidRDefault="00A06DD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1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740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DD0" w:rsidRDefault="00A06D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6DD0" w:rsidRPr="00E85589" w:rsidRDefault="00A06DD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7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DD0" w:rsidRDefault="00A06DD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D0" w:rsidRDefault="00A06DD0">
    <w:pPr>
      <w:pStyle w:val="a7"/>
      <w:jc w:val="center"/>
    </w:pPr>
  </w:p>
  <w:p w:rsidR="00A06DD0" w:rsidRDefault="00A06D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3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58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275E1"/>
    <w:rsid w:val="00050002"/>
    <w:rsid w:val="0005257B"/>
    <w:rsid w:val="00065BEF"/>
    <w:rsid w:val="000711FB"/>
    <w:rsid w:val="00077FDB"/>
    <w:rsid w:val="00087626"/>
    <w:rsid w:val="000A38CF"/>
    <w:rsid w:val="000A5ACA"/>
    <w:rsid w:val="000A622D"/>
    <w:rsid w:val="000C23C1"/>
    <w:rsid w:val="000C2BE5"/>
    <w:rsid w:val="000C4F19"/>
    <w:rsid w:val="000C7AEE"/>
    <w:rsid w:val="00102292"/>
    <w:rsid w:val="00112E6F"/>
    <w:rsid w:val="00124660"/>
    <w:rsid w:val="001376FB"/>
    <w:rsid w:val="00157D32"/>
    <w:rsid w:val="00162BA0"/>
    <w:rsid w:val="001647C7"/>
    <w:rsid w:val="001C19E9"/>
    <w:rsid w:val="001E7EE8"/>
    <w:rsid w:val="001F1B0C"/>
    <w:rsid w:val="00200605"/>
    <w:rsid w:val="002153AA"/>
    <w:rsid w:val="0023793B"/>
    <w:rsid w:val="0024273B"/>
    <w:rsid w:val="002432DA"/>
    <w:rsid w:val="0025351B"/>
    <w:rsid w:val="00270D40"/>
    <w:rsid w:val="00282B63"/>
    <w:rsid w:val="002976BB"/>
    <w:rsid w:val="002A1A50"/>
    <w:rsid w:val="002B5990"/>
    <w:rsid w:val="002B6BBC"/>
    <w:rsid w:val="002B7D27"/>
    <w:rsid w:val="002E5FD6"/>
    <w:rsid w:val="002F48CC"/>
    <w:rsid w:val="003060D7"/>
    <w:rsid w:val="003217CA"/>
    <w:rsid w:val="00330F25"/>
    <w:rsid w:val="003405DB"/>
    <w:rsid w:val="00347B50"/>
    <w:rsid w:val="003636DF"/>
    <w:rsid w:val="00365225"/>
    <w:rsid w:val="00375EF6"/>
    <w:rsid w:val="0037755E"/>
    <w:rsid w:val="0038250A"/>
    <w:rsid w:val="00384F0F"/>
    <w:rsid w:val="00392AEC"/>
    <w:rsid w:val="0039324E"/>
    <w:rsid w:val="00394ECB"/>
    <w:rsid w:val="00397229"/>
    <w:rsid w:val="003A2D6D"/>
    <w:rsid w:val="003C3338"/>
    <w:rsid w:val="003D5BA5"/>
    <w:rsid w:val="003E6457"/>
    <w:rsid w:val="003F30A5"/>
    <w:rsid w:val="004215A8"/>
    <w:rsid w:val="00423E93"/>
    <w:rsid w:val="004416DB"/>
    <w:rsid w:val="00447FDD"/>
    <w:rsid w:val="00453865"/>
    <w:rsid w:val="0046698D"/>
    <w:rsid w:val="00473880"/>
    <w:rsid w:val="00484CA5"/>
    <w:rsid w:val="004941B5"/>
    <w:rsid w:val="00497E23"/>
    <w:rsid w:val="004A472A"/>
    <w:rsid w:val="004B23E9"/>
    <w:rsid w:val="004C3F81"/>
    <w:rsid w:val="004E4057"/>
    <w:rsid w:val="004F5846"/>
    <w:rsid w:val="004F7AC9"/>
    <w:rsid w:val="0052023F"/>
    <w:rsid w:val="00523CAA"/>
    <w:rsid w:val="0052490E"/>
    <w:rsid w:val="00530ACF"/>
    <w:rsid w:val="00543F6F"/>
    <w:rsid w:val="00554D52"/>
    <w:rsid w:val="00576513"/>
    <w:rsid w:val="00577302"/>
    <w:rsid w:val="00587523"/>
    <w:rsid w:val="005C178F"/>
    <w:rsid w:val="005C4FB0"/>
    <w:rsid w:val="005D3894"/>
    <w:rsid w:val="005D6014"/>
    <w:rsid w:val="005D78D0"/>
    <w:rsid w:val="005E5C45"/>
    <w:rsid w:val="005E6C37"/>
    <w:rsid w:val="005F2D44"/>
    <w:rsid w:val="005F5D74"/>
    <w:rsid w:val="0060072C"/>
    <w:rsid w:val="00614181"/>
    <w:rsid w:val="00617465"/>
    <w:rsid w:val="00620923"/>
    <w:rsid w:val="00624B5F"/>
    <w:rsid w:val="006347C9"/>
    <w:rsid w:val="006418ED"/>
    <w:rsid w:val="00641AAE"/>
    <w:rsid w:val="00654EE9"/>
    <w:rsid w:val="0065774D"/>
    <w:rsid w:val="00660E8B"/>
    <w:rsid w:val="0069195B"/>
    <w:rsid w:val="0069775A"/>
    <w:rsid w:val="006B1740"/>
    <w:rsid w:val="006E654A"/>
    <w:rsid w:val="007002E4"/>
    <w:rsid w:val="00703ECA"/>
    <w:rsid w:val="007065D4"/>
    <w:rsid w:val="00732EE8"/>
    <w:rsid w:val="007370B0"/>
    <w:rsid w:val="007400BE"/>
    <w:rsid w:val="00743789"/>
    <w:rsid w:val="00746F25"/>
    <w:rsid w:val="00760E6B"/>
    <w:rsid w:val="00761270"/>
    <w:rsid w:val="007807A7"/>
    <w:rsid w:val="00784305"/>
    <w:rsid w:val="007854D6"/>
    <w:rsid w:val="00797F0B"/>
    <w:rsid w:val="007A4FBD"/>
    <w:rsid w:val="007B1EA6"/>
    <w:rsid w:val="007B52D1"/>
    <w:rsid w:val="007B62FD"/>
    <w:rsid w:val="007C7BE0"/>
    <w:rsid w:val="007E4540"/>
    <w:rsid w:val="007F3C9C"/>
    <w:rsid w:val="00802916"/>
    <w:rsid w:val="008037D9"/>
    <w:rsid w:val="0080775A"/>
    <w:rsid w:val="0082037B"/>
    <w:rsid w:val="00833AA6"/>
    <w:rsid w:val="00842430"/>
    <w:rsid w:val="00845D1E"/>
    <w:rsid w:val="00847C7C"/>
    <w:rsid w:val="00857961"/>
    <w:rsid w:val="00862027"/>
    <w:rsid w:val="0087207E"/>
    <w:rsid w:val="00872E84"/>
    <w:rsid w:val="008759F7"/>
    <w:rsid w:val="00881E4B"/>
    <w:rsid w:val="008A5884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3DD8"/>
    <w:rsid w:val="008E5102"/>
    <w:rsid w:val="008F22DD"/>
    <w:rsid w:val="00900330"/>
    <w:rsid w:val="00906F36"/>
    <w:rsid w:val="00922A37"/>
    <w:rsid w:val="00933DA7"/>
    <w:rsid w:val="009412ED"/>
    <w:rsid w:val="009614A8"/>
    <w:rsid w:val="00962492"/>
    <w:rsid w:val="00967A8B"/>
    <w:rsid w:val="00967BA2"/>
    <w:rsid w:val="00982AD1"/>
    <w:rsid w:val="00996D75"/>
    <w:rsid w:val="009A22C2"/>
    <w:rsid w:val="009A7C79"/>
    <w:rsid w:val="009B3563"/>
    <w:rsid w:val="009B744C"/>
    <w:rsid w:val="009B7470"/>
    <w:rsid w:val="009C6D1E"/>
    <w:rsid w:val="009D2CA1"/>
    <w:rsid w:val="009D47DD"/>
    <w:rsid w:val="009D633B"/>
    <w:rsid w:val="00A06A9F"/>
    <w:rsid w:val="00A06DD0"/>
    <w:rsid w:val="00A1632B"/>
    <w:rsid w:val="00A16769"/>
    <w:rsid w:val="00A1680D"/>
    <w:rsid w:val="00A41DE2"/>
    <w:rsid w:val="00A63E61"/>
    <w:rsid w:val="00A65C8C"/>
    <w:rsid w:val="00A82381"/>
    <w:rsid w:val="00A856BB"/>
    <w:rsid w:val="00A913AE"/>
    <w:rsid w:val="00A917B2"/>
    <w:rsid w:val="00A92123"/>
    <w:rsid w:val="00AB194B"/>
    <w:rsid w:val="00AB1EB6"/>
    <w:rsid w:val="00AC4BF0"/>
    <w:rsid w:val="00AE234C"/>
    <w:rsid w:val="00AF2458"/>
    <w:rsid w:val="00AF33BE"/>
    <w:rsid w:val="00B01C69"/>
    <w:rsid w:val="00B14AB2"/>
    <w:rsid w:val="00B16132"/>
    <w:rsid w:val="00B21906"/>
    <w:rsid w:val="00B24FC5"/>
    <w:rsid w:val="00B30AE2"/>
    <w:rsid w:val="00B3475A"/>
    <w:rsid w:val="00B44B84"/>
    <w:rsid w:val="00B66456"/>
    <w:rsid w:val="00B95E48"/>
    <w:rsid w:val="00B96AF0"/>
    <w:rsid w:val="00BD1F6E"/>
    <w:rsid w:val="00BE78DC"/>
    <w:rsid w:val="00BF0ACB"/>
    <w:rsid w:val="00BF582D"/>
    <w:rsid w:val="00BF7CA3"/>
    <w:rsid w:val="00C24A6E"/>
    <w:rsid w:val="00C318A8"/>
    <w:rsid w:val="00C41D65"/>
    <w:rsid w:val="00C53B89"/>
    <w:rsid w:val="00C73C9D"/>
    <w:rsid w:val="00C75FFF"/>
    <w:rsid w:val="00C82DF4"/>
    <w:rsid w:val="00C90892"/>
    <w:rsid w:val="00C91C81"/>
    <w:rsid w:val="00C92A8E"/>
    <w:rsid w:val="00CB01E3"/>
    <w:rsid w:val="00CB4BD2"/>
    <w:rsid w:val="00CB50DF"/>
    <w:rsid w:val="00CB7D7C"/>
    <w:rsid w:val="00CC1BF6"/>
    <w:rsid w:val="00CE1FC7"/>
    <w:rsid w:val="00CF1BF2"/>
    <w:rsid w:val="00CF36A5"/>
    <w:rsid w:val="00CF3B7B"/>
    <w:rsid w:val="00CF456D"/>
    <w:rsid w:val="00CF6E55"/>
    <w:rsid w:val="00CF702E"/>
    <w:rsid w:val="00D167E3"/>
    <w:rsid w:val="00D17DA1"/>
    <w:rsid w:val="00D32F20"/>
    <w:rsid w:val="00D3447B"/>
    <w:rsid w:val="00D478DB"/>
    <w:rsid w:val="00D50E32"/>
    <w:rsid w:val="00D6609B"/>
    <w:rsid w:val="00D747FF"/>
    <w:rsid w:val="00DB152B"/>
    <w:rsid w:val="00DB61A5"/>
    <w:rsid w:val="00DE022C"/>
    <w:rsid w:val="00DE2021"/>
    <w:rsid w:val="00DF1054"/>
    <w:rsid w:val="00E15756"/>
    <w:rsid w:val="00E15D9F"/>
    <w:rsid w:val="00E32876"/>
    <w:rsid w:val="00E41329"/>
    <w:rsid w:val="00E43B05"/>
    <w:rsid w:val="00E5552A"/>
    <w:rsid w:val="00E65E1F"/>
    <w:rsid w:val="00E85589"/>
    <w:rsid w:val="00E962D9"/>
    <w:rsid w:val="00EA4692"/>
    <w:rsid w:val="00EB7F04"/>
    <w:rsid w:val="00EC39A0"/>
    <w:rsid w:val="00EC6C08"/>
    <w:rsid w:val="00EE037D"/>
    <w:rsid w:val="00EF26AC"/>
    <w:rsid w:val="00F00C9F"/>
    <w:rsid w:val="00F021E4"/>
    <w:rsid w:val="00F0251A"/>
    <w:rsid w:val="00F13F31"/>
    <w:rsid w:val="00F16AE9"/>
    <w:rsid w:val="00F23385"/>
    <w:rsid w:val="00F36882"/>
    <w:rsid w:val="00F459BE"/>
    <w:rsid w:val="00F63DCD"/>
    <w:rsid w:val="00F9681C"/>
    <w:rsid w:val="00FC2B91"/>
    <w:rsid w:val="00FC4762"/>
    <w:rsid w:val="00FC59A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68CE-9CBB-4220-AA3D-BB6DB1EA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5675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Звада Дарья Александровна</cp:lastModifiedBy>
  <cp:revision>58</cp:revision>
  <cp:lastPrinted>2019-03-05T12:11:00Z</cp:lastPrinted>
  <dcterms:created xsi:type="dcterms:W3CDTF">2017-04-28T08:23:00Z</dcterms:created>
  <dcterms:modified xsi:type="dcterms:W3CDTF">2020-06-23T07:16:00Z</dcterms:modified>
</cp:coreProperties>
</file>