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4E" w:rsidRPr="009A6B4E" w:rsidRDefault="009A6B4E" w:rsidP="009A6B4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B4E" w:rsidRPr="009A6B4E" w:rsidRDefault="009A6B4E" w:rsidP="009A6B4E">
      <w:pPr>
        <w:jc w:val="center"/>
        <w:rPr>
          <w:b/>
          <w:sz w:val="20"/>
          <w:szCs w:val="20"/>
        </w:rPr>
      </w:pPr>
    </w:p>
    <w:p w:rsidR="009A6B4E" w:rsidRPr="009A6B4E" w:rsidRDefault="009A6B4E" w:rsidP="009A6B4E">
      <w:pPr>
        <w:jc w:val="center"/>
        <w:rPr>
          <w:b/>
          <w:sz w:val="42"/>
          <w:szCs w:val="42"/>
        </w:rPr>
      </w:pPr>
      <w:r w:rsidRPr="009A6B4E">
        <w:rPr>
          <w:b/>
          <w:sz w:val="42"/>
          <w:szCs w:val="42"/>
        </w:rPr>
        <w:t xml:space="preserve">АДМИНИСТРАЦИЯ  </w:t>
      </w:r>
    </w:p>
    <w:p w:rsidR="009A6B4E" w:rsidRPr="009A6B4E" w:rsidRDefault="009A6B4E" w:rsidP="009A6B4E">
      <w:pPr>
        <w:jc w:val="center"/>
        <w:rPr>
          <w:b/>
          <w:sz w:val="19"/>
          <w:szCs w:val="42"/>
        </w:rPr>
      </w:pPr>
      <w:r w:rsidRPr="009A6B4E">
        <w:rPr>
          <w:b/>
          <w:sz w:val="42"/>
          <w:szCs w:val="42"/>
        </w:rPr>
        <w:t>НЕФТЕЮГАНСКОГО  РАЙОНА</w:t>
      </w:r>
    </w:p>
    <w:p w:rsidR="009A6B4E" w:rsidRPr="009A6B4E" w:rsidRDefault="009A6B4E" w:rsidP="009A6B4E">
      <w:pPr>
        <w:jc w:val="center"/>
        <w:rPr>
          <w:b/>
          <w:sz w:val="32"/>
        </w:rPr>
      </w:pPr>
    </w:p>
    <w:p w:rsidR="009A6B4E" w:rsidRPr="009A6B4E" w:rsidRDefault="009A6B4E" w:rsidP="009A6B4E">
      <w:pPr>
        <w:jc w:val="center"/>
        <w:rPr>
          <w:b/>
          <w:caps/>
          <w:sz w:val="36"/>
          <w:szCs w:val="38"/>
        </w:rPr>
      </w:pPr>
      <w:r w:rsidRPr="009A6B4E">
        <w:rPr>
          <w:b/>
          <w:caps/>
          <w:sz w:val="36"/>
          <w:szCs w:val="38"/>
        </w:rPr>
        <w:t>постановление</w:t>
      </w:r>
    </w:p>
    <w:p w:rsidR="009A6B4E" w:rsidRPr="009A6B4E" w:rsidRDefault="009A6B4E" w:rsidP="009A6B4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A6B4E" w:rsidRPr="009A6B4E" w:rsidTr="00FD22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A6B4E" w:rsidRPr="009A6B4E" w:rsidRDefault="009A6B4E" w:rsidP="009A6B4E">
            <w:pPr>
              <w:jc w:val="center"/>
              <w:rPr>
                <w:sz w:val="26"/>
                <w:szCs w:val="26"/>
              </w:rPr>
            </w:pPr>
            <w:r w:rsidRPr="009A6B4E">
              <w:rPr>
                <w:sz w:val="26"/>
                <w:szCs w:val="26"/>
              </w:rPr>
              <w:t>31.10.2019</w:t>
            </w:r>
          </w:p>
        </w:tc>
        <w:tc>
          <w:tcPr>
            <w:tcW w:w="6595" w:type="dxa"/>
            <w:vMerge w:val="restart"/>
          </w:tcPr>
          <w:p w:rsidR="009A6B4E" w:rsidRPr="009A6B4E" w:rsidRDefault="009A6B4E" w:rsidP="009A6B4E">
            <w:pPr>
              <w:jc w:val="right"/>
              <w:rPr>
                <w:sz w:val="26"/>
                <w:szCs w:val="26"/>
                <w:u w:val="single"/>
              </w:rPr>
            </w:pPr>
            <w:r w:rsidRPr="009A6B4E">
              <w:rPr>
                <w:sz w:val="26"/>
                <w:szCs w:val="26"/>
              </w:rPr>
              <w:t>№</w:t>
            </w:r>
            <w:r w:rsidRPr="009A6B4E">
              <w:rPr>
                <w:sz w:val="26"/>
                <w:szCs w:val="26"/>
                <w:u w:val="single"/>
              </w:rPr>
              <w:t xml:space="preserve"> 22</w:t>
            </w:r>
            <w:r>
              <w:rPr>
                <w:sz w:val="26"/>
                <w:szCs w:val="26"/>
                <w:u w:val="single"/>
              </w:rPr>
              <w:t>20</w:t>
            </w:r>
            <w:r w:rsidRPr="009A6B4E">
              <w:rPr>
                <w:sz w:val="26"/>
                <w:szCs w:val="26"/>
                <w:u w:val="single"/>
              </w:rPr>
              <w:t>-па</w:t>
            </w:r>
          </w:p>
        </w:tc>
      </w:tr>
      <w:tr w:rsidR="009A6B4E" w:rsidRPr="009A6B4E" w:rsidTr="00FD22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A6B4E" w:rsidRPr="009A6B4E" w:rsidRDefault="009A6B4E" w:rsidP="009A6B4E">
            <w:pPr>
              <w:rPr>
                <w:sz w:val="4"/>
              </w:rPr>
            </w:pPr>
          </w:p>
          <w:p w:rsidR="009A6B4E" w:rsidRPr="009A6B4E" w:rsidRDefault="009A6B4E" w:rsidP="009A6B4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A6B4E" w:rsidRPr="009A6B4E" w:rsidRDefault="009A6B4E" w:rsidP="009A6B4E">
            <w:pPr>
              <w:jc w:val="right"/>
              <w:rPr>
                <w:sz w:val="20"/>
              </w:rPr>
            </w:pPr>
          </w:p>
        </w:tc>
      </w:tr>
    </w:tbl>
    <w:p w:rsidR="009A6B4E" w:rsidRPr="009A6B4E" w:rsidRDefault="009A6B4E" w:rsidP="009A6B4E">
      <w:pPr>
        <w:jc w:val="center"/>
      </w:pPr>
      <w:r w:rsidRPr="009A6B4E">
        <w:t>г.Нефтеюганск</w:t>
      </w:r>
    </w:p>
    <w:p w:rsidR="009A6B4E" w:rsidRPr="009A6B4E" w:rsidRDefault="009A6B4E" w:rsidP="009A6B4E">
      <w:pPr>
        <w:ind w:right="-1"/>
        <w:jc w:val="center"/>
      </w:pPr>
    </w:p>
    <w:p w:rsidR="00330AA7" w:rsidRDefault="009F1D25" w:rsidP="005F2877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330AA7" w:rsidRDefault="007D210C" w:rsidP="005F2877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5F2877" w:rsidRPr="005F2877">
        <w:rPr>
          <w:sz w:val="26"/>
          <w:szCs w:val="26"/>
        </w:rPr>
        <w:t xml:space="preserve">«Обустройство куста скважин № 74 </w:t>
      </w:r>
    </w:p>
    <w:p w:rsidR="008879D9" w:rsidRDefault="005F2877" w:rsidP="005F2877">
      <w:pPr>
        <w:tabs>
          <w:tab w:val="right" w:pos="9922"/>
        </w:tabs>
        <w:jc w:val="center"/>
        <w:rPr>
          <w:sz w:val="26"/>
          <w:szCs w:val="26"/>
        </w:rPr>
      </w:pPr>
      <w:r w:rsidRPr="005F2877">
        <w:rPr>
          <w:sz w:val="26"/>
          <w:szCs w:val="26"/>
        </w:rPr>
        <w:t>Петелинского месторождения»</w:t>
      </w:r>
    </w:p>
    <w:p w:rsidR="005F2877" w:rsidRDefault="005F2877" w:rsidP="005F2877">
      <w:pPr>
        <w:tabs>
          <w:tab w:val="right" w:pos="9922"/>
        </w:tabs>
        <w:jc w:val="center"/>
        <w:rPr>
          <w:sz w:val="26"/>
          <w:szCs w:val="26"/>
        </w:rPr>
      </w:pPr>
    </w:p>
    <w:p w:rsidR="00330AA7" w:rsidRDefault="00330AA7" w:rsidP="005F287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330AA7" w:rsidP="009B087D">
      <w:pPr>
        <w:ind w:firstLine="36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="00BB3421"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акционерного общества </w:t>
      </w:r>
      <w:r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 xml:space="preserve">«Томский научно-исследовательский и проектный институт нефти и газа» </w:t>
      </w:r>
      <w:r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>(далее –</w:t>
      </w:r>
      <w:r w:rsidR="006E04B8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АО «ТомскНИПИнефть»)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5F2877">
        <w:rPr>
          <w:sz w:val="26"/>
          <w:szCs w:val="26"/>
        </w:rPr>
        <w:t>09.10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</w:t>
      </w:r>
      <w:r w:rsidR="00D36BBE">
        <w:rPr>
          <w:sz w:val="26"/>
          <w:szCs w:val="26"/>
        </w:rPr>
        <w:t>3</w:t>
      </w:r>
      <w:r w:rsidR="005F2877">
        <w:rPr>
          <w:sz w:val="26"/>
          <w:szCs w:val="26"/>
        </w:rPr>
        <w:t>2488</w:t>
      </w:r>
      <w:r w:rsidR="00C974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8879D9" w:rsidRDefault="005529DF" w:rsidP="00330AA7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A275C1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5F2877" w:rsidRPr="005F2877">
        <w:rPr>
          <w:sz w:val="26"/>
          <w:szCs w:val="26"/>
        </w:rPr>
        <w:t>«Обустройство куста скважин № 74 Петелинского месторождения»</w:t>
      </w:r>
      <w:r w:rsidR="008879D9">
        <w:rPr>
          <w:sz w:val="26"/>
          <w:szCs w:val="26"/>
        </w:rPr>
        <w:t xml:space="preserve"> </w:t>
      </w:r>
      <w:r w:rsidRPr="008879D9">
        <w:rPr>
          <w:sz w:val="26"/>
          <w:szCs w:val="26"/>
        </w:rPr>
        <w:t>(приложение</w:t>
      </w:r>
      <w:r w:rsidR="005F03E9" w:rsidRPr="008879D9">
        <w:rPr>
          <w:sz w:val="26"/>
          <w:szCs w:val="26"/>
        </w:rPr>
        <w:t xml:space="preserve"> № 1</w:t>
      </w:r>
      <w:r w:rsidRPr="008879D9">
        <w:rPr>
          <w:sz w:val="26"/>
          <w:szCs w:val="26"/>
        </w:rPr>
        <w:t>).</w:t>
      </w:r>
    </w:p>
    <w:p w:rsidR="00850AB6" w:rsidRPr="006E04B8" w:rsidRDefault="00850AB6" w:rsidP="00330AA7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5F2877" w:rsidRPr="005F2877">
        <w:rPr>
          <w:sz w:val="26"/>
          <w:szCs w:val="26"/>
        </w:rPr>
        <w:t>«Обустройство куста скважин № 74 Петелинского месторождения»</w:t>
      </w:r>
      <w:r w:rsidR="008879D9" w:rsidRPr="00D36BBE">
        <w:rPr>
          <w:sz w:val="26"/>
          <w:szCs w:val="26"/>
        </w:rPr>
        <w:t xml:space="preserve"> </w:t>
      </w:r>
      <w:r w:rsidRPr="008879D9">
        <w:rPr>
          <w:sz w:val="26"/>
          <w:szCs w:val="26"/>
        </w:rPr>
        <w:t>(</w:t>
      </w:r>
      <w:r w:rsidRPr="006E04B8">
        <w:rPr>
          <w:sz w:val="26"/>
          <w:szCs w:val="26"/>
        </w:rPr>
        <w:t>приложение № 2).</w:t>
      </w:r>
    </w:p>
    <w:p w:rsidR="00ED3FA8" w:rsidRDefault="001C1D1A" w:rsidP="00330AA7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«ТомскНИПИнефть»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A275C1">
        <w:rPr>
          <w:sz w:val="26"/>
          <w:szCs w:val="26"/>
        </w:rPr>
        <w:t>, и пред</w:t>
      </w:r>
      <w:r w:rsidR="00D93BCC">
        <w:rPr>
          <w:sz w:val="26"/>
          <w:szCs w:val="26"/>
        </w:rPr>
        <w:t xml:space="preserve">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A275C1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330AA7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330AA7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275C1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30AA7" w:rsidRDefault="00E4334B" w:rsidP="00330AA7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30AA7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30AA7">
        <w:rPr>
          <w:sz w:val="26"/>
          <w:szCs w:val="26"/>
        </w:rPr>
        <w:t>течение 30 дней с</w:t>
      </w:r>
      <w:r w:rsidRPr="00330AA7">
        <w:rPr>
          <w:sz w:val="26"/>
          <w:szCs w:val="26"/>
        </w:rPr>
        <w:t>о дня</w:t>
      </w:r>
      <w:r w:rsidR="00F41DFD" w:rsidRPr="00330AA7">
        <w:rPr>
          <w:sz w:val="26"/>
          <w:szCs w:val="26"/>
        </w:rPr>
        <w:t xml:space="preserve"> поступления Документации </w:t>
      </w:r>
      <w:r w:rsidR="00A275C1">
        <w:rPr>
          <w:sz w:val="26"/>
          <w:szCs w:val="26"/>
        </w:rPr>
        <w:br/>
      </w:r>
      <w:r w:rsidRPr="00330AA7">
        <w:rPr>
          <w:sz w:val="26"/>
          <w:szCs w:val="26"/>
        </w:rPr>
        <w:t xml:space="preserve">в </w:t>
      </w:r>
      <w:r w:rsidR="006E04B8" w:rsidRPr="00330AA7">
        <w:rPr>
          <w:sz w:val="26"/>
          <w:szCs w:val="26"/>
        </w:rPr>
        <w:t>комитет</w:t>
      </w:r>
      <w:r w:rsidRPr="00330AA7">
        <w:rPr>
          <w:sz w:val="26"/>
          <w:szCs w:val="26"/>
        </w:rPr>
        <w:t xml:space="preserve"> </w:t>
      </w:r>
      <w:r w:rsidR="00A275C1">
        <w:rPr>
          <w:sz w:val="26"/>
          <w:szCs w:val="26"/>
        </w:rPr>
        <w:t xml:space="preserve">по </w:t>
      </w:r>
      <w:r w:rsidRPr="00330AA7">
        <w:rPr>
          <w:sz w:val="26"/>
          <w:szCs w:val="26"/>
        </w:rPr>
        <w:t>градостроительств</w:t>
      </w:r>
      <w:r w:rsidR="00A275C1">
        <w:rPr>
          <w:sz w:val="26"/>
          <w:szCs w:val="26"/>
        </w:rPr>
        <w:t>у</w:t>
      </w:r>
      <w:r w:rsidRPr="00330AA7">
        <w:rPr>
          <w:sz w:val="26"/>
          <w:szCs w:val="26"/>
        </w:rPr>
        <w:t xml:space="preserve"> </w:t>
      </w:r>
      <w:r w:rsidR="00616975" w:rsidRPr="00330AA7">
        <w:rPr>
          <w:sz w:val="26"/>
          <w:szCs w:val="26"/>
        </w:rPr>
        <w:t>администрации</w:t>
      </w:r>
      <w:r w:rsidRPr="00330AA7">
        <w:rPr>
          <w:sz w:val="26"/>
          <w:szCs w:val="26"/>
        </w:rPr>
        <w:t xml:space="preserve"> района на соответствие требованиям пункта 10 статьи 45 Градостроительного кодекса Российской Федерации.</w:t>
      </w:r>
    </w:p>
    <w:p w:rsidR="00307DD5" w:rsidRDefault="009A16AE" w:rsidP="00330AA7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A275C1" w:rsidP="00330AA7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330AA7" w:rsidRPr="006E07F5" w:rsidRDefault="00330AA7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D36BBE" w:rsidRDefault="00D36BBE" w:rsidP="00861C2D">
      <w:pPr>
        <w:jc w:val="both"/>
        <w:rPr>
          <w:sz w:val="26"/>
          <w:szCs w:val="26"/>
        </w:rPr>
      </w:pPr>
    </w:p>
    <w:p w:rsidR="00D36BBE" w:rsidRDefault="00D36BBE" w:rsidP="00C9741B">
      <w:pPr>
        <w:jc w:val="right"/>
        <w:rPr>
          <w:sz w:val="26"/>
          <w:szCs w:val="26"/>
        </w:rPr>
      </w:pPr>
    </w:p>
    <w:p w:rsidR="005F2877" w:rsidRDefault="005F2877" w:rsidP="00C9741B">
      <w:pPr>
        <w:jc w:val="right"/>
        <w:rPr>
          <w:sz w:val="26"/>
          <w:szCs w:val="26"/>
        </w:rPr>
      </w:pPr>
    </w:p>
    <w:p w:rsidR="005F2877" w:rsidRDefault="005F2877" w:rsidP="00C9741B">
      <w:pPr>
        <w:jc w:val="right"/>
        <w:rPr>
          <w:sz w:val="26"/>
          <w:szCs w:val="26"/>
        </w:rPr>
      </w:pPr>
    </w:p>
    <w:p w:rsidR="00330AA7" w:rsidRDefault="00330AA7" w:rsidP="00C9741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275C1" w:rsidRPr="004C2088" w:rsidRDefault="00A275C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A275C1" w:rsidRPr="004C2088" w:rsidRDefault="00A275C1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275C1" w:rsidRPr="004C2088" w:rsidRDefault="00A275C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A6B4E">
        <w:rPr>
          <w:sz w:val="26"/>
          <w:szCs w:val="26"/>
        </w:rPr>
        <w:t xml:space="preserve"> 31.10.2019 № 2220-па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</w:p>
    <w:p w:rsidR="00A275C1" w:rsidRDefault="00A275C1" w:rsidP="005F2877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46389E" w:rsidRDefault="00A275C1" w:rsidP="005F2877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439CB1" wp14:editId="78DF1EF2">
            <wp:simplePos x="0" y="0"/>
            <wp:positionH relativeFrom="column">
              <wp:posOffset>62865</wp:posOffset>
            </wp:positionH>
            <wp:positionV relativeFrom="paragraph">
              <wp:posOffset>327660</wp:posOffset>
            </wp:positionV>
            <wp:extent cx="6115050" cy="7397750"/>
            <wp:effectExtent l="0" t="0" r="0" b="0"/>
            <wp:wrapNone/>
            <wp:docPr id="2" name="Рисунок 2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39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48F" w:rsidRPr="0028353F">
        <w:rPr>
          <w:sz w:val="26"/>
          <w:szCs w:val="26"/>
        </w:rPr>
        <w:t xml:space="preserve">размещения объекта: </w:t>
      </w:r>
      <w:r w:rsidR="005F2877" w:rsidRPr="005F2877">
        <w:rPr>
          <w:sz w:val="26"/>
          <w:szCs w:val="26"/>
        </w:rPr>
        <w:t xml:space="preserve">«Обустройство куста скважин № 74 </w:t>
      </w:r>
      <w:r>
        <w:rPr>
          <w:sz w:val="26"/>
          <w:szCs w:val="26"/>
        </w:rPr>
        <w:br/>
      </w:r>
      <w:r w:rsidR="005F2877" w:rsidRPr="005F2877">
        <w:rPr>
          <w:sz w:val="26"/>
          <w:szCs w:val="26"/>
        </w:rPr>
        <w:t>Петелинского месторождения»</w:t>
      </w:r>
    </w:p>
    <w:p w:rsidR="004C69FD" w:rsidRDefault="004C69FD" w:rsidP="008E0D20">
      <w:pPr>
        <w:jc w:val="right"/>
        <w:rPr>
          <w:sz w:val="26"/>
          <w:szCs w:val="26"/>
        </w:rPr>
      </w:pPr>
    </w:p>
    <w:p w:rsidR="00EC0235" w:rsidRDefault="00EC0235" w:rsidP="005F2877">
      <w:pPr>
        <w:jc w:val="right"/>
        <w:rPr>
          <w:sz w:val="26"/>
          <w:szCs w:val="26"/>
        </w:rPr>
      </w:pPr>
    </w:p>
    <w:p w:rsidR="00EC0235" w:rsidRDefault="00EC0235" w:rsidP="008E0D20">
      <w:pPr>
        <w:jc w:val="right"/>
        <w:rPr>
          <w:sz w:val="26"/>
          <w:szCs w:val="26"/>
        </w:rPr>
      </w:pPr>
    </w:p>
    <w:p w:rsidR="00A275C1" w:rsidRDefault="00A275C1" w:rsidP="008E0D20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275C1" w:rsidRPr="004C2088" w:rsidRDefault="00A275C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A275C1" w:rsidRPr="004C2088" w:rsidRDefault="00A275C1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275C1" w:rsidRPr="004C2088" w:rsidRDefault="00A275C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A6B4E">
        <w:rPr>
          <w:sz w:val="26"/>
          <w:szCs w:val="26"/>
        </w:rPr>
        <w:t xml:space="preserve"> </w:t>
      </w:r>
      <w:r w:rsidR="009A6B4E">
        <w:rPr>
          <w:sz w:val="26"/>
          <w:szCs w:val="26"/>
        </w:rPr>
        <w:t>31.10.2019 № 2220-па</w:t>
      </w:r>
    </w:p>
    <w:p w:rsidR="006E04B8" w:rsidRDefault="006E04B8" w:rsidP="006E04B8">
      <w:pPr>
        <w:jc w:val="right"/>
        <w:rPr>
          <w:sz w:val="26"/>
          <w:szCs w:val="26"/>
        </w:rPr>
      </w:pPr>
    </w:p>
    <w:p w:rsidR="005F2877" w:rsidRPr="00A275C1" w:rsidRDefault="005F2877" w:rsidP="005F2877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sz w:val="26"/>
          <w:szCs w:val="26"/>
        </w:rPr>
      </w:pPr>
      <w:r w:rsidRPr="00A275C1">
        <w:rPr>
          <w:sz w:val="26"/>
          <w:szCs w:val="26"/>
        </w:rPr>
        <w:t xml:space="preserve">ЗАДАНИЕ </w:t>
      </w:r>
    </w:p>
    <w:p w:rsidR="005F2877" w:rsidRPr="00A275C1" w:rsidRDefault="005F2877" w:rsidP="005F2877">
      <w:pPr>
        <w:spacing w:line="0" w:lineRule="atLeast"/>
        <w:jc w:val="center"/>
        <w:rPr>
          <w:bCs/>
          <w:sz w:val="26"/>
          <w:szCs w:val="26"/>
        </w:rPr>
      </w:pPr>
      <w:r w:rsidRPr="00A275C1">
        <w:rPr>
          <w:bCs/>
          <w:sz w:val="26"/>
          <w:szCs w:val="26"/>
        </w:rPr>
        <w:t>на разработку документации по планировке территории</w:t>
      </w:r>
    </w:p>
    <w:p w:rsidR="005F2877" w:rsidRPr="00C4104B" w:rsidRDefault="005F2877" w:rsidP="005F2877">
      <w:pPr>
        <w:spacing w:line="0" w:lineRule="atLeast"/>
        <w:jc w:val="center"/>
        <w:rPr>
          <w:b/>
          <w:bCs/>
        </w:rPr>
      </w:pPr>
    </w:p>
    <w:p w:rsidR="005F2877" w:rsidRPr="00C4104B" w:rsidRDefault="005F2877" w:rsidP="005F2877">
      <w:pPr>
        <w:tabs>
          <w:tab w:val="right" w:pos="9922"/>
        </w:tabs>
        <w:jc w:val="center"/>
        <w:rPr>
          <w:u w:val="single"/>
        </w:rPr>
      </w:pPr>
      <w:r w:rsidRPr="00C4104B">
        <w:rPr>
          <w:u w:val="single"/>
        </w:rPr>
        <w:t>«</w:t>
      </w:r>
      <w:r w:rsidRPr="00055984">
        <w:rPr>
          <w:rFonts w:cs="Arial"/>
          <w:u w:val="single"/>
        </w:rPr>
        <w:t>Обустройство куста скважин № 74 Петелинского месторождения</w:t>
      </w:r>
      <w:r w:rsidRPr="00C4104B">
        <w:rPr>
          <w:u w:val="single"/>
        </w:rPr>
        <w:t xml:space="preserve">» </w:t>
      </w:r>
    </w:p>
    <w:p w:rsidR="005F2877" w:rsidRPr="00C4104B" w:rsidRDefault="005F2877" w:rsidP="005F2877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8"/>
        <w:gridCol w:w="5846"/>
      </w:tblGrid>
      <w:tr w:rsidR="005F2877" w:rsidRPr="00C4104B" w:rsidTr="00A275C1">
        <w:trPr>
          <w:trHeight w:val="333"/>
        </w:trPr>
        <w:tc>
          <w:tcPr>
            <w:tcW w:w="0" w:type="auto"/>
          </w:tcPr>
          <w:p w:rsidR="005F2877" w:rsidRPr="00C4104B" w:rsidRDefault="005F2877" w:rsidP="00A275C1">
            <w:pPr>
              <w:pStyle w:val="20"/>
              <w:tabs>
                <w:tab w:val="left" w:pos="375"/>
              </w:tabs>
              <w:ind w:left="0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5F2877" w:rsidRPr="00C4104B" w:rsidRDefault="005F2877" w:rsidP="00A275C1">
            <w:pPr>
              <w:tabs>
                <w:tab w:val="left" w:pos="375"/>
              </w:tabs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5F2877" w:rsidRPr="00C4104B" w:rsidTr="00A275C1">
        <w:tc>
          <w:tcPr>
            <w:tcW w:w="0" w:type="auto"/>
          </w:tcPr>
          <w:p w:rsidR="005F2877" w:rsidRPr="00C4104B" w:rsidRDefault="005F2877" w:rsidP="00A275C1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5F2877" w:rsidRPr="00C4104B" w:rsidRDefault="005F2877" w:rsidP="00A275C1">
            <w:pPr>
              <w:tabs>
                <w:tab w:val="left" w:pos="375"/>
              </w:tabs>
            </w:pPr>
            <w:r w:rsidRPr="00C4104B">
              <w:t>Проект планировки территории. Проект межевания территории</w:t>
            </w:r>
            <w:r w:rsidR="00A275C1">
              <w:t>.</w:t>
            </w:r>
          </w:p>
        </w:tc>
      </w:tr>
      <w:tr w:rsidR="005F2877" w:rsidRPr="00C4104B" w:rsidTr="00A275C1">
        <w:tc>
          <w:tcPr>
            <w:tcW w:w="0" w:type="auto"/>
          </w:tcPr>
          <w:p w:rsidR="005F2877" w:rsidRPr="00013806" w:rsidRDefault="005F2877" w:rsidP="00A275C1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013806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5F2877" w:rsidRPr="00013806" w:rsidRDefault="005F2877" w:rsidP="00A275C1">
            <w:pPr>
              <w:tabs>
                <w:tab w:val="left" w:pos="375"/>
              </w:tabs>
              <w:ind w:right="-5"/>
            </w:pPr>
            <w:r w:rsidRPr="00013806">
              <w:t>Публичное акционерное общество «Нефтяная компания «Роснефть»;</w:t>
            </w:r>
            <w:r w:rsidR="00A275C1">
              <w:t xml:space="preserve"> </w:t>
            </w:r>
            <w:r w:rsidRPr="00013806">
              <w:t>ОГРН 1027700043502;</w:t>
            </w:r>
          </w:p>
          <w:p w:rsidR="005F2877" w:rsidRPr="00013806" w:rsidRDefault="005F2877" w:rsidP="00A275C1">
            <w:pPr>
              <w:tabs>
                <w:tab w:val="left" w:pos="375"/>
              </w:tabs>
              <w:ind w:right="-5"/>
            </w:pPr>
            <w:r w:rsidRPr="00013806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5F2877" w:rsidRPr="00013806" w:rsidRDefault="005F2877" w:rsidP="00A275C1">
            <w:pPr>
              <w:tabs>
                <w:tab w:val="left" w:pos="375"/>
              </w:tabs>
              <w:ind w:right="-5"/>
            </w:pPr>
            <w:r w:rsidRPr="00013806">
              <w:t>место нахождение и адрес:115035, г. Москва, Софийская набережная, 26/1</w:t>
            </w:r>
            <w:r w:rsidR="00A275C1">
              <w:t>.</w:t>
            </w:r>
          </w:p>
          <w:p w:rsidR="005F2877" w:rsidRPr="00013806" w:rsidRDefault="005F2877" w:rsidP="00A275C1">
            <w:pPr>
              <w:tabs>
                <w:tab w:val="left" w:pos="375"/>
              </w:tabs>
              <w:ind w:right="-5"/>
            </w:pPr>
            <w:r w:rsidRPr="00013806">
              <w:t>Реквизиты документа, удостоверяющего полномочия представителя заявителя: доверенность от 01.02.2019</w:t>
            </w:r>
            <w:r w:rsidR="00A275C1">
              <w:t xml:space="preserve"> </w:t>
            </w:r>
            <w:r w:rsidR="00A275C1" w:rsidRPr="00013806">
              <w:t>№</w:t>
            </w:r>
            <w:r w:rsidR="00A275C1">
              <w:t xml:space="preserve"> </w:t>
            </w:r>
            <w:r w:rsidR="00A275C1" w:rsidRPr="00013806">
              <w:t>11-72/27</w:t>
            </w:r>
            <w:r w:rsidRPr="00013806">
              <w:t>.</w:t>
            </w:r>
          </w:p>
        </w:tc>
      </w:tr>
      <w:tr w:rsidR="005F2877" w:rsidRPr="00C4104B" w:rsidTr="00A275C1">
        <w:tc>
          <w:tcPr>
            <w:tcW w:w="0" w:type="auto"/>
          </w:tcPr>
          <w:p w:rsidR="005F2877" w:rsidRPr="00C4104B" w:rsidRDefault="005F2877" w:rsidP="00A275C1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5F2877" w:rsidRPr="00C4104B" w:rsidRDefault="005F2877" w:rsidP="00A275C1">
            <w:pPr>
              <w:tabs>
                <w:tab w:val="left" w:pos="375"/>
              </w:tabs>
              <w:ind w:right="-5"/>
            </w:pPr>
            <w:r w:rsidRPr="00C4104B">
              <w:t>За счет собственных средств ПАО «НК «Роснефть»</w:t>
            </w:r>
            <w:r w:rsidR="00A275C1">
              <w:t>.</w:t>
            </w:r>
          </w:p>
        </w:tc>
      </w:tr>
      <w:tr w:rsidR="005F2877" w:rsidRPr="00C4104B" w:rsidTr="00A275C1">
        <w:tc>
          <w:tcPr>
            <w:tcW w:w="0" w:type="auto"/>
          </w:tcPr>
          <w:p w:rsidR="005F2877" w:rsidRPr="00C4104B" w:rsidRDefault="005F2877" w:rsidP="00A275C1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5F2877" w:rsidRPr="00C4104B" w:rsidRDefault="005F2877" w:rsidP="00A275C1">
            <w:pPr>
              <w:tabs>
                <w:tab w:val="left" w:pos="375"/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055984">
              <w:t xml:space="preserve">Обустройство </w:t>
            </w:r>
            <w:r w:rsidR="00A275C1">
              <w:br/>
            </w:r>
            <w:r w:rsidRPr="00055984">
              <w:t>куста скважин № 74 Петелинского месторождения</w:t>
            </w:r>
            <w:r w:rsidRPr="00C4104B">
              <w:t xml:space="preserve">». </w:t>
            </w:r>
            <w:r>
              <w:t>О</w:t>
            </w:r>
            <w:r w:rsidRPr="00C4104B">
              <w:t xml:space="preserve">сновные характеристики представлены </w:t>
            </w:r>
            <w:r w:rsidR="00A275C1">
              <w:br/>
            </w:r>
            <w:r w:rsidRPr="00C4104B">
              <w:t xml:space="preserve">в приложении к </w:t>
            </w:r>
            <w:r>
              <w:t>настоящему заданию</w:t>
            </w:r>
            <w:r w:rsidRPr="00C4104B">
              <w:t>.</w:t>
            </w:r>
          </w:p>
          <w:p w:rsidR="005F2877" w:rsidRPr="00C4104B" w:rsidRDefault="005F2877" w:rsidP="00A275C1">
            <w:pPr>
              <w:tabs>
                <w:tab w:val="left" w:pos="375"/>
              </w:tabs>
              <w:ind w:right="-5"/>
            </w:pPr>
          </w:p>
        </w:tc>
      </w:tr>
      <w:tr w:rsidR="005F2877" w:rsidRPr="00C4104B" w:rsidTr="00A275C1">
        <w:tc>
          <w:tcPr>
            <w:tcW w:w="0" w:type="auto"/>
          </w:tcPr>
          <w:p w:rsidR="005F2877" w:rsidRPr="00C4104B" w:rsidRDefault="005F2877" w:rsidP="00A275C1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5F2877" w:rsidRPr="00C4104B" w:rsidRDefault="005F2877" w:rsidP="00A275C1">
            <w:pPr>
              <w:tabs>
                <w:tab w:val="left" w:pos="375"/>
              </w:tabs>
              <w:ind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A275C1">
              <w:t>.</w:t>
            </w:r>
          </w:p>
        </w:tc>
      </w:tr>
      <w:tr w:rsidR="005F2877" w:rsidRPr="00C4104B" w:rsidTr="00A275C1">
        <w:tc>
          <w:tcPr>
            <w:tcW w:w="0" w:type="auto"/>
          </w:tcPr>
          <w:p w:rsidR="005F2877" w:rsidRPr="00C4104B" w:rsidRDefault="005F2877" w:rsidP="00A275C1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5F2877" w:rsidRPr="00C4104B" w:rsidRDefault="005F2877" w:rsidP="00A275C1">
            <w:pPr>
              <w:tabs>
                <w:tab w:val="left" w:pos="375"/>
              </w:tabs>
              <w:ind w:right="-5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640662">
              <w:t xml:space="preserve"> </w:t>
            </w:r>
            <w:r w:rsidRPr="00C4104B">
              <w:t xml:space="preserve">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5F2877" w:rsidRPr="00C4104B" w:rsidRDefault="005F2877" w:rsidP="00A275C1">
            <w:pPr>
              <w:pStyle w:val="af"/>
              <w:tabs>
                <w:tab w:val="left" w:pos="375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5F2877" w:rsidRPr="00C4104B" w:rsidRDefault="005F2877" w:rsidP="00A275C1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640662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</w:t>
            </w:r>
          </w:p>
          <w:p w:rsidR="00640662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к строительству в соответствии с ранее утвержденной документацией по планировке территории, </w:t>
            </w:r>
          </w:p>
          <w:p w:rsidR="00640662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от возможного негативного воздействия в связи 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с размещением линейных объектов;</w:t>
            </w:r>
          </w:p>
          <w:p w:rsidR="00640662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информация о необходимости осуществления мероприятий по сохранению объектов культурного наследия от возможного негативного воздействия 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 связи с размещением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640662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схема границ территорий, подверженных риску возникновения чрезвычайных ситуаций природного 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5F2877" w:rsidRPr="00C4104B" w:rsidRDefault="005F2877" w:rsidP="00A275C1">
            <w:pPr>
              <w:tabs>
                <w:tab w:val="left" w:pos="375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5F2877" w:rsidRPr="00C4104B" w:rsidRDefault="005F2877" w:rsidP="00A275C1">
            <w:pPr>
              <w:shd w:val="clear" w:color="auto" w:fill="FFFFFF"/>
              <w:tabs>
                <w:tab w:val="left" w:pos="375"/>
              </w:tabs>
              <w:spacing w:line="0" w:lineRule="atLeast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5F2877" w:rsidRPr="00C4104B" w:rsidRDefault="005F2877" w:rsidP="00A275C1">
            <w:pPr>
              <w:shd w:val="clear" w:color="auto" w:fill="FFFFFF"/>
              <w:tabs>
                <w:tab w:val="left" w:pos="37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5F2877" w:rsidRPr="00C4104B" w:rsidRDefault="005F2877" w:rsidP="00A275C1">
            <w:pPr>
              <w:shd w:val="clear" w:color="auto" w:fill="FFFFFF"/>
              <w:tabs>
                <w:tab w:val="left" w:pos="37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5F2877" w:rsidRPr="00C4104B" w:rsidRDefault="005F2877" w:rsidP="00A275C1">
            <w:pPr>
              <w:shd w:val="clear" w:color="auto" w:fill="FFFFFF"/>
              <w:tabs>
                <w:tab w:val="left" w:pos="37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5F2877" w:rsidRPr="00C4104B" w:rsidRDefault="005F2877" w:rsidP="00A275C1">
            <w:pPr>
              <w:shd w:val="clear" w:color="auto" w:fill="FFFFFF"/>
              <w:tabs>
                <w:tab w:val="left" w:pos="37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5F2877" w:rsidRPr="00C4104B" w:rsidRDefault="005F2877" w:rsidP="00A275C1">
            <w:pPr>
              <w:shd w:val="clear" w:color="auto" w:fill="FFFFFF"/>
              <w:tabs>
                <w:tab w:val="left" w:pos="375"/>
              </w:tabs>
              <w:spacing w:line="290" w:lineRule="atLeast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5F2877" w:rsidRPr="00C4104B" w:rsidRDefault="005F2877" w:rsidP="00A275C1">
            <w:pPr>
              <w:shd w:val="clear" w:color="auto" w:fill="FFFFFF"/>
              <w:tabs>
                <w:tab w:val="left" w:pos="37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5F2877" w:rsidRPr="00C4104B" w:rsidRDefault="005F2877" w:rsidP="00A275C1">
            <w:pPr>
              <w:shd w:val="clear" w:color="auto" w:fill="FFFFFF"/>
              <w:tabs>
                <w:tab w:val="left" w:pos="37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5F2877" w:rsidRPr="00C4104B" w:rsidRDefault="005F2877" w:rsidP="00A275C1">
            <w:pPr>
              <w:shd w:val="clear" w:color="auto" w:fill="FFFFFF"/>
              <w:tabs>
                <w:tab w:val="left" w:pos="37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5F2877" w:rsidRPr="00C4104B" w:rsidRDefault="005F2877" w:rsidP="00A275C1">
            <w:pPr>
              <w:shd w:val="clear" w:color="auto" w:fill="FFFFFF"/>
              <w:tabs>
                <w:tab w:val="left" w:pos="37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5F2877" w:rsidRPr="00C4104B" w:rsidRDefault="005F2877" w:rsidP="00A275C1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5F2877" w:rsidRPr="00C4104B" w:rsidRDefault="005F2877" w:rsidP="00A275C1">
            <w:pPr>
              <w:tabs>
                <w:tab w:val="left" w:pos="375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5F2877" w:rsidRPr="00C4104B" w:rsidRDefault="005F2877" w:rsidP="00A275C1">
            <w:pPr>
              <w:tabs>
                <w:tab w:val="left" w:pos="375"/>
              </w:tabs>
              <w:ind w:right="-5"/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5F2877" w:rsidRPr="00C4104B" w:rsidRDefault="005F2877" w:rsidP="005F2877">
      <w:pPr>
        <w:tabs>
          <w:tab w:val="left" w:pos="909"/>
        </w:tabs>
        <w:ind w:right="-155"/>
        <w:jc w:val="both"/>
        <w:rPr>
          <w:b/>
        </w:rPr>
        <w:sectPr w:rsidR="005F2877" w:rsidRPr="00C4104B" w:rsidSect="00330AA7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E1637" w:rsidRDefault="005F2877" w:rsidP="00DE1637">
      <w:pPr>
        <w:ind w:left="5387" w:right="-144"/>
      </w:pPr>
      <w:bookmarkStart w:id="10" w:name="OLE_LINK7"/>
      <w:bookmarkStart w:id="11" w:name="OLE_LINK8"/>
      <w:r w:rsidRPr="00CE6B74">
        <w:t xml:space="preserve">Приложение </w:t>
      </w:r>
      <w:bookmarkEnd w:id="10"/>
      <w:bookmarkEnd w:id="11"/>
    </w:p>
    <w:p w:rsidR="005F2877" w:rsidRPr="00CE6B74" w:rsidRDefault="005F2877" w:rsidP="00DE1637">
      <w:pPr>
        <w:ind w:left="5387" w:right="-144"/>
      </w:pPr>
      <w:r w:rsidRPr="00CE6B74">
        <w:t>к заданию</w:t>
      </w:r>
      <w:r w:rsidR="00DE1637">
        <w:t xml:space="preserve"> </w:t>
      </w:r>
      <w:r w:rsidRPr="00CE6B74">
        <w:t>на разработку документации</w:t>
      </w:r>
    </w:p>
    <w:p w:rsidR="005F2877" w:rsidRPr="00CE6B74" w:rsidRDefault="005F2877" w:rsidP="00DE1637">
      <w:pPr>
        <w:ind w:left="5387" w:right="-144"/>
      </w:pPr>
      <w:r w:rsidRPr="00CE6B74">
        <w:t>по планировке территории</w:t>
      </w:r>
    </w:p>
    <w:p w:rsidR="005F2877" w:rsidRPr="00CE6B74" w:rsidRDefault="005F2877" w:rsidP="005F2877">
      <w:pPr>
        <w:ind w:left="709" w:right="-144"/>
        <w:jc w:val="right"/>
      </w:pPr>
    </w:p>
    <w:p w:rsidR="005F2877" w:rsidRDefault="005F2877" w:rsidP="00EA7D5C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  <w:r w:rsidRPr="00EA7D5C">
        <w:rPr>
          <w:b/>
        </w:rPr>
        <w:t>Основные технические характеристики планируемых трубопроводов</w:t>
      </w:r>
    </w:p>
    <w:p w:rsidR="00EA7D5C" w:rsidRPr="00EA7D5C" w:rsidRDefault="00EA7D5C" w:rsidP="00EA7D5C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tbl>
      <w:tblPr>
        <w:tblW w:w="0" w:type="auto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4"/>
        <w:gridCol w:w="1755"/>
        <w:gridCol w:w="1755"/>
        <w:gridCol w:w="1754"/>
        <w:gridCol w:w="1755"/>
        <w:gridCol w:w="1755"/>
      </w:tblGrid>
      <w:tr w:rsidR="005F2877" w:rsidRPr="00EA7D5C" w:rsidTr="00EA7D5C">
        <w:trPr>
          <w:cantSplit/>
          <w:trHeight w:val="45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jc w:val="center"/>
              <w:rPr>
                <w:rFonts w:eastAsia="Calibri"/>
                <w:lang w:eastAsia="en-US"/>
              </w:rPr>
            </w:pPr>
            <w:r w:rsidRPr="00EA7D5C">
              <w:rPr>
                <w:rFonts w:eastAsia="Calibri"/>
                <w:lang w:eastAsia="en-US"/>
              </w:rPr>
              <w:t>Наименование трубопровода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jc w:val="center"/>
              <w:rPr>
                <w:rFonts w:eastAsia="Calibri"/>
                <w:lang w:eastAsia="en-US"/>
              </w:rPr>
            </w:pPr>
            <w:r w:rsidRPr="00EA7D5C">
              <w:rPr>
                <w:rFonts w:eastAsia="Calibri"/>
                <w:lang w:eastAsia="en-US"/>
              </w:rPr>
              <w:t>Диаметр трубо-провода,</w:t>
            </w:r>
          </w:p>
          <w:p w:rsidR="005F2877" w:rsidRPr="00EA7D5C" w:rsidRDefault="005F2877" w:rsidP="00EA7D5C">
            <w:pPr>
              <w:jc w:val="center"/>
              <w:rPr>
                <w:rFonts w:eastAsia="Calibri"/>
                <w:lang w:eastAsia="en-US"/>
              </w:rPr>
            </w:pPr>
            <w:r w:rsidRPr="00EA7D5C">
              <w:rPr>
                <w:rFonts w:eastAsia="Calibri"/>
                <w:lang w:eastAsia="en-US"/>
              </w:rPr>
              <w:t>толщина стенки, мм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jc w:val="center"/>
              <w:rPr>
                <w:rFonts w:eastAsia="Calibri"/>
                <w:lang w:eastAsia="en-US"/>
              </w:rPr>
            </w:pPr>
            <w:r w:rsidRPr="00EA7D5C">
              <w:rPr>
                <w:rFonts w:eastAsia="Calibri"/>
                <w:lang w:eastAsia="en-US"/>
              </w:rPr>
              <w:t>Давление (избыточ-ное), МПа, в начале/ конце участка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jc w:val="center"/>
              <w:rPr>
                <w:rFonts w:eastAsia="Calibri"/>
                <w:lang w:eastAsia="en-US"/>
              </w:rPr>
            </w:pPr>
            <w:r w:rsidRPr="00EA7D5C">
              <w:rPr>
                <w:rFonts w:eastAsia="Calibri"/>
                <w:lang w:eastAsia="en-US"/>
              </w:rPr>
              <w:t>Проектная мощность                  трубопровода по жидкости/ по газу, м³/сут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jc w:val="center"/>
              <w:rPr>
                <w:rFonts w:eastAsia="Calibri"/>
                <w:lang w:eastAsia="en-US"/>
              </w:rPr>
            </w:pPr>
            <w:r w:rsidRPr="00EA7D5C">
              <w:rPr>
                <w:rFonts w:eastAsia="Calibri"/>
                <w:lang w:eastAsia="en-US"/>
              </w:rPr>
              <w:t>Протяжённость               трубопровода, 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jc w:val="center"/>
              <w:rPr>
                <w:rFonts w:eastAsia="Calibri"/>
                <w:lang w:eastAsia="en-US"/>
              </w:rPr>
            </w:pPr>
            <w:r w:rsidRPr="00EA7D5C">
              <w:rPr>
                <w:rFonts w:eastAsia="Calibri"/>
                <w:lang w:eastAsia="en-US"/>
              </w:rPr>
              <w:t>Материал изготовления</w:t>
            </w:r>
          </w:p>
        </w:tc>
      </w:tr>
      <w:tr w:rsidR="005F2877" w:rsidRPr="00EA7D5C" w:rsidTr="005F2877">
        <w:trPr>
          <w:cantSplit/>
          <w:trHeight w:val="851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0B" w:rsidRDefault="005F2877" w:rsidP="00EA7D5C">
            <w:pPr>
              <w:rPr>
                <w:rFonts w:eastAsia="Calibri"/>
                <w:lang w:eastAsia="en-US"/>
              </w:rPr>
            </w:pPr>
            <w:r w:rsidRPr="00EA7D5C">
              <w:rPr>
                <w:rFonts w:eastAsia="Calibri"/>
                <w:lang w:eastAsia="en-US"/>
              </w:rPr>
              <w:t>Нефтегазо</w:t>
            </w:r>
            <w:r w:rsidR="009A2D0B">
              <w:rPr>
                <w:rFonts w:eastAsia="Calibri"/>
                <w:lang w:eastAsia="en-US"/>
              </w:rPr>
              <w:t>-</w:t>
            </w:r>
            <w:r w:rsidRPr="00EA7D5C">
              <w:rPr>
                <w:rFonts w:eastAsia="Calibri"/>
                <w:lang w:eastAsia="en-US"/>
              </w:rPr>
              <w:t xml:space="preserve">сборные сети Куст № 74 </w:t>
            </w:r>
            <w:r w:rsidR="009A2D0B">
              <w:rPr>
                <w:rFonts w:eastAsia="Calibri"/>
                <w:lang w:eastAsia="en-US"/>
              </w:rPr>
              <w:t>–</w:t>
            </w:r>
            <w:r w:rsidRPr="00EA7D5C">
              <w:rPr>
                <w:rFonts w:eastAsia="Calibri"/>
                <w:lang w:eastAsia="en-US"/>
              </w:rPr>
              <w:t xml:space="preserve"> </w:t>
            </w:r>
          </w:p>
          <w:p w:rsidR="005F2877" w:rsidRPr="00EA7D5C" w:rsidRDefault="005F2877" w:rsidP="00EA7D5C">
            <w:pPr>
              <w:rPr>
                <w:rFonts w:eastAsia="Calibri"/>
                <w:lang w:eastAsia="en-US"/>
              </w:rPr>
            </w:pPr>
            <w:r w:rsidRPr="00EA7D5C">
              <w:rPr>
                <w:rFonts w:eastAsia="Calibri"/>
                <w:lang w:eastAsia="en-US"/>
              </w:rPr>
              <w:t>т. вр. куст № 74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jc w:val="center"/>
              <w:rPr>
                <w:rFonts w:eastAsia="Calibri"/>
                <w:lang w:val="en-US" w:eastAsia="en-US"/>
              </w:rPr>
            </w:pPr>
            <w:r w:rsidRPr="00EA7D5C">
              <w:rPr>
                <w:rFonts w:eastAsia="Calibri"/>
                <w:lang w:val="en-US" w:eastAsia="en-US"/>
              </w:rPr>
              <w:t>159х6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  <w:rPr>
                <w:rFonts w:eastAsia="Calibri"/>
                <w:lang w:eastAsia="en-US"/>
              </w:rPr>
            </w:pPr>
            <w:r w:rsidRPr="00EA7D5C">
              <w:rPr>
                <w:rFonts w:eastAsia="Calibri"/>
                <w:lang w:eastAsia="en-US"/>
              </w:rPr>
              <w:t>3,36/3,30</w:t>
            </w:r>
          </w:p>
          <w:p w:rsidR="005F2877" w:rsidRPr="00EA7D5C" w:rsidRDefault="005F2877" w:rsidP="00EA7D5C">
            <w:pPr>
              <w:keepNext/>
              <w:jc w:val="center"/>
              <w:rPr>
                <w:rFonts w:eastAsia="Calibri"/>
                <w:lang w:eastAsia="en-US"/>
              </w:rPr>
            </w:pPr>
            <w:r w:rsidRPr="00EA7D5C">
              <w:rPr>
                <w:rFonts w:eastAsia="Calibri"/>
                <w:lang w:eastAsia="en-US"/>
              </w:rPr>
              <w:t>(3,44/3,35 – максимальный расход на май 2022года)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jc w:val="center"/>
            </w:pPr>
            <w:r w:rsidRPr="00EA7D5C">
              <w:t>744,8</w:t>
            </w:r>
            <w:r w:rsidRPr="00EA7D5C">
              <w:rPr>
                <w:rFonts w:eastAsia="Calibri"/>
                <w:lang w:eastAsia="en-US"/>
              </w:rPr>
              <w:t>/</w:t>
            </w:r>
            <w:r w:rsidRPr="00EA7D5C">
              <w:t>26582,2</w:t>
            </w:r>
          </w:p>
          <w:p w:rsidR="005F2877" w:rsidRPr="00EA7D5C" w:rsidRDefault="005F2877" w:rsidP="00EA7D5C">
            <w:pPr>
              <w:jc w:val="center"/>
            </w:pPr>
            <w:r w:rsidRPr="00EA7D5C">
              <w:t>(933,8</w:t>
            </w:r>
            <w:r w:rsidRPr="00EA7D5C">
              <w:rPr>
                <w:rFonts w:eastAsia="Calibri"/>
                <w:lang w:eastAsia="en-US"/>
              </w:rPr>
              <w:t>/</w:t>
            </w:r>
            <w:r w:rsidRPr="00EA7D5C">
              <w:t xml:space="preserve">33258,1– </w:t>
            </w:r>
            <w:r w:rsidRPr="00EA7D5C">
              <w:rPr>
                <w:rFonts w:eastAsia="Calibri"/>
                <w:lang w:eastAsia="en-US"/>
              </w:rPr>
              <w:t>максимальный расход на май 2022года)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jc w:val="center"/>
            </w:pPr>
            <w:r w:rsidRPr="00EA7D5C">
              <w:t>805,81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  <w:rPr>
                <w:rFonts w:eastAsia="Calibri"/>
                <w:lang w:eastAsia="en-US"/>
              </w:rPr>
            </w:pPr>
            <w:r w:rsidRPr="00EA7D5C">
              <w:rPr>
                <w:rFonts w:eastAsia="Calibri"/>
                <w:lang w:eastAsia="en-US"/>
              </w:rPr>
              <w:t xml:space="preserve">Трубы электросварные прямошовные, класс прочности К48. С наружным трехслойным полиэтиленовым покрытием и </w:t>
            </w:r>
            <w:r w:rsidR="009A2D0B">
              <w:rPr>
                <w:rFonts w:eastAsia="Calibri"/>
                <w:lang w:eastAsia="en-US"/>
              </w:rPr>
              <w:t>внутренним эпоксидным покрытием</w:t>
            </w:r>
          </w:p>
        </w:tc>
      </w:tr>
      <w:tr w:rsidR="005F2877" w:rsidRPr="00EA7D5C" w:rsidTr="005F2877">
        <w:trPr>
          <w:cantSplit/>
          <w:trHeight w:val="851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rPr>
                <w:rFonts w:eastAsia="Calibri"/>
                <w:lang w:eastAsia="en-US"/>
              </w:rPr>
            </w:pPr>
            <w:r w:rsidRPr="00EA7D5C">
              <w:rPr>
                <w:rFonts w:eastAsia="Calibri"/>
                <w:lang w:eastAsia="en-US"/>
              </w:rPr>
              <w:t>Высоко</w:t>
            </w:r>
            <w:r w:rsidR="009A2D0B">
              <w:rPr>
                <w:rFonts w:eastAsia="Calibri"/>
                <w:lang w:eastAsia="en-US"/>
              </w:rPr>
              <w:t>-</w:t>
            </w:r>
            <w:r w:rsidRPr="00EA7D5C">
              <w:rPr>
                <w:rFonts w:eastAsia="Calibri"/>
                <w:lang w:eastAsia="en-US"/>
              </w:rPr>
              <w:t>напорный водовод Т. вр. куст № 74 - куст № 74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jc w:val="center"/>
              <w:rPr>
                <w:rFonts w:eastAsia="Calibri"/>
                <w:lang w:val="en-US" w:eastAsia="en-US"/>
              </w:rPr>
            </w:pPr>
            <w:r w:rsidRPr="00EA7D5C">
              <w:rPr>
                <w:rFonts w:eastAsia="Calibri"/>
                <w:lang w:val="en-US" w:eastAsia="en-US"/>
              </w:rPr>
              <w:t>114х12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  <w:rPr>
                <w:rFonts w:eastAsia="Calibri"/>
                <w:lang w:val="en-US" w:eastAsia="en-US"/>
              </w:rPr>
            </w:pPr>
            <w:r w:rsidRPr="00EA7D5C">
              <w:rPr>
                <w:rFonts w:eastAsia="Calibri"/>
                <w:lang w:val="en-US" w:eastAsia="en-US"/>
              </w:rPr>
              <w:t>20,76/20,72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jc w:val="center"/>
              <w:rPr>
                <w:rFonts w:eastAsia="Calibri"/>
                <w:lang w:val="en-US" w:eastAsia="en-US"/>
              </w:rPr>
            </w:pPr>
            <w:r w:rsidRPr="00EA7D5C">
              <w:rPr>
                <w:rFonts w:eastAsia="Calibri"/>
                <w:lang w:val="en-US" w:eastAsia="en-US"/>
              </w:rPr>
              <w:t>480,0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jc w:val="center"/>
              <w:rPr>
                <w:rFonts w:eastAsia="Calibri"/>
                <w:lang w:val="en-US" w:eastAsia="en-US"/>
              </w:rPr>
            </w:pPr>
            <w:r w:rsidRPr="00EA7D5C">
              <w:rPr>
                <w:rFonts w:eastAsia="Calibri"/>
                <w:lang w:val="en-US" w:eastAsia="en-US"/>
              </w:rPr>
              <w:t>205,27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  <w:rPr>
                <w:rFonts w:eastAsia="Calibri"/>
                <w:lang w:eastAsia="en-US"/>
              </w:rPr>
            </w:pPr>
            <w:r w:rsidRPr="00EA7D5C">
              <w:rPr>
                <w:rFonts w:eastAsia="Calibri"/>
                <w:lang w:eastAsia="en-US"/>
              </w:rPr>
              <w:t>Стальные бесшовные повышенной коррозионной стойкости, класс прочности К52. С наружным двухс</w:t>
            </w:r>
            <w:r w:rsidR="009A2D0B">
              <w:rPr>
                <w:rFonts w:eastAsia="Calibri"/>
                <w:lang w:eastAsia="en-US"/>
              </w:rPr>
              <w:t>лойным полиэтиленовым покрытием</w:t>
            </w:r>
          </w:p>
        </w:tc>
      </w:tr>
    </w:tbl>
    <w:p w:rsidR="005F2877" w:rsidRPr="00EA7D5C" w:rsidRDefault="005F2877" w:rsidP="00EA7D5C">
      <w:pPr>
        <w:jc w:val="center"/>
        <w:rPr>
          <w:b/>
        </w:rPr>
      </w:pPr>
    </w:p>
    <w:p w:rsidR="005F2877" w:rsidRDefault="005F2877" w:rsidP="00EA7D5C">
      <w:pPr>
        <w:jc w:val="center"/>
        <w:rPr>
          <w:b/>
        </w:rPr>
      </w:pPr>
      <w:r w:rsidRPr="00EA7D5C">
        <w:rPr>
          <w:b/>
        </w:rPr>
        <w:t xml:space="preserve">Основные технические характеристики планируемых автомобильных дорог </w:t>
      </w:r>
    </w:p>
    <w:p w:rsidR="009A2D0B" w:rsidRPr="00EA7D5C" w:rsidRDefault="009A2D0B" w:rsidP="00EA7D5C">
      <w:pPr>
        <w:jc w:val="center"/>
        <w:rPr>
          <w:b/>
        </w:rPr>
      </w:pPr>
    </w:p>
    <w:tbl>
      <w:tblPr>
        <w:tblW w:w="4941" w:type="pct"/>
        <w:jc w:val="center"/>
        <w:tblInd w:w="-111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75"/>
        <w:gridCol w:w="1561"/>
        <w:gridCol w:w="1681"/>
        <w:gridCol w:w="1525"/>
        <w:gridCol w:w="1204"/>
        <w:gridCol w:w="1657"/>
      </w:tblGrid>
      <w:tr w:rsidR="005F2877" w:rsidRPr="00EA7D5C" w:rsidTr="00227CFC">
        <w:trPr>
          <w:cantSplit/>
          <w:trHeight w:val="454"/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Наименование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Техническая категория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Ширина земляного полотна, 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Ширина проезжей части, м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Длина, 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Количество углов поворота</w:t>
            </w:r>
          </w:p>
        </w:tc>
      </w:tr>
      <w:tr w:rsidR="005F2877" w:rsidRPr="00EA7D5C" w:rsidTr="00227CFC">
        <w:trPr>
          <w:cantSplit/>
          <w:trHeight w:val="616"/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77" w:rsidRPr="00EA7D5C" w:rsidRDefault="005F2877" w:rsidP="00EA7D5C">
            <w:pPr>
              <w:rPr>
                <w:color w:val="000000"/>
              </w:rPr>
            </w:pPr>
            <w:r w:rsidRPr="00EA7D5C">
              <w:rPr>
                <w:color w:val="000000"/>
              </w:rPr>
              <w:t>Автомобильная дорога к кусту скважин № 74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val="en-US" w:eastAsia="en-US"/>
              </w:rPr>
              <w:t>IV-</w:t>
            </w:r>
            <w:r w:rsidRPr="00EA7D5C">
              <w:rPr>
                <w:lang w:eastAsia="en-US"/>
              </w:rPr>
              <w:t>в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6,5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4,5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532,57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2</w:t>
            </w:r>
          </w:p>
        </w:tc>
      </w:tr>
      <w:tr w:rsidR="005F2877" w:rsidRPr="00EA7D5C" w:rsidTr="00227CFC">
        <w:trPr>
          <w:cantSplit/>
          <w:trHeight w:val="383"/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77" w:rsidRPr="00EA7D5C" w:rsidRDefault="005F2877" w:rsidP="00EA7D5C">
            <w:pPr>
              <w:rPr>
                <w:color w:val="000000"/>
              </w:rPr>
            </w:pPr>
            <w:r w:rsidRPr="00EA7D5C">
              <w:rPr>
                <w:color w:val="000000"/>
              </w:rPr>
              <w:t>Переезд № 1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-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9,0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6,0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17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0</w:t>
            </w:r>
          </w:p>
        </w:tc>
      </w:tr>
      <w:tr w:rsidR="005F2877" w:rsidRPr="00EA7D5C" w:rsidTr="00227CFC">
        <w:trPr>
          <w:cantSplit/>
          <w:trHeight w:val="462"/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77" w:rsidRPr="00EA7D5C" w:rsidRDefault="005F2877" w:rsidP="00EA7D5C">
            <w:pPr>
              <w:rPr>
                <w:color w:val="000000"/>
              </w:rPr>
            </w:pPr>
            <w:r w:rsidRPr="00EA7D5C">
              <w:rPr>
                <w:color w:val="000000"/>
              </w:rPr>
              <w:t>Переезд № 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-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9,0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6,0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27,82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0</w:t>
            </w:r>
          </w:p>
        </w:tc>
      </w:tr>
      <w:tr w:rsidR="005F2877" w:rsidRPr="00EA7D5C" w:rsidTr="00227CFC">
        <w:trPr>
          <w:cantSplit/>
          <w:trHeight w:val="400"/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77" w:rsidRPr="00EA7D5C" w:rsidRDefault="005F2877" w:rsidP="00EA7D5C">
            <w:pPr>
              <w:rPr>
                <w:color w:val="000000"/>
              </w:rPr>
            </w:pPr>
            <w:r w:rsidRPr="00EA7D5C">
              <w:rPr>
                <w:color w:val="000000"/>
              </w:rPr>
              <w:t>Переезд № 3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-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9,0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6,0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17,54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0</w:t>
            </w:r>
          </w:p>
        </w:tc>
      </w:tr>
      <w:tr w:rsidR="005F2877" w:rsidRPr="00EA7D5C" w:rsidTr="00227CFC">
        <w:trPr>
          <w:cantSplit/>
          <w:trHeight w:val="616"/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877" w:rsidRPr="00EA7D5C" w:rsidRDefault="005F2877" w:rsidP="00EA7D5C">
            <w:pPr>
              <w:rPr>
                <w:color w:val="000000"/>
              </w:rPr>
            </w:pPr>
            <w:r w:rsidRPr="00EA7D5C">
              <w:rPr>
                <w:color w:val="000000"/>
              </w:rPr>
              <w:t>Съезд к кусту скважин № 74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val="en-US" w:eastAsia="en-US"/>
              </w:rPr>
              <w:t>IV-</w:t>
            </w:r>
            <w:r w:rsidRPr="00EA7D5C">
              <w:rPr>
                <w:lang w:eastAsia="en-US"/>
              </w:rPr>
              <w:t>в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6,5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4,5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jc w:val="center"/>
              <w:rPr>
                <w:color w:val="000000"/>
              </w:rPr>
            </w:pPr>
            <w:r w:rsidRPr="00EA7D5C">
              <w:rPr>
                <w:color w:val="000000"/>
              </w:rPr>
              <w:t>30,48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9A2D0B">
            <w:pPr>
              <w:keepNext/>
              <w:jc w:val="center"/>
              <w:rPr>
                <w:lang w:eastAsia="en-US"/>
              </w:rPr>
            </w:pPr>
            <w:r w:rsidRPr="00EA7D5C">
              <w:rPr>
                <w:lang w:eastAsia="en-US"/>
              </w:rPr>
              <w:t>0</w:t>
            </w:r>
          </w:p>
        </w:tc>
      </w:tr>
    </w:tbl>
    <w:p w:rsidR="005F2877" w:rsidRPr="00EA7D5C" w:rsidRDefault="005F2877" w:rsidP="00EA7D5C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5F2877" w:rsidRDefault="005F2877" w:rsidP="00EA7D5C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EA7D5C">
        <w:rPr>
          <w:b/>
        </w:rPr>
        <w:t>Основные технические характеристики планируемых воздушный линий электропередачи (ВЛ)</w:t>
      </w:r>
    </w:p>
    <w:p w:rsidR="009A2D0B" w:rsidRPr="00EA7D5C" w:rsidRDefault="009A2D0B" w:rsidP="00EA7D5C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5130" w:type="pct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931"/>
        <w:gridCol w:w="1781"/>
        <w:gridCol w:w="2782"/>
        <w:gridCol w:w="1402"/>
        <w:gridCol w:w="1294"/>
      </w:tblGrid>
      <w:tr w:rsidR="005F2877" w:rsidRPr="00EA7D5C" w:rsidTr="00227CFC">
        <w:trPr>
          <w:cantSplit/>
          <w:trHeight w:val="391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</w:pPr>
            <w:r w:rsidRPr="00EA7D5C">
              <w:t>Наименование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</w:pPr>
            <w:r w:rsidRPr="00EA7D5C">
              <w:t>Напря</w:t>
            </w:r>
            <w:r w:rsidR="00A8233E">
              <w:t>-</w:t>
            </w:r>
            <w:r w:rsidRPr="00EA7D5C">
              <w:t>жение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</w:pPr>
            <w:r w:rsidRPr="00EA7D5C">
              <w:t>Марка провода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</w:pPr>
            <w:r w:rsidRPr="00EA7D5C">
              <w:t>Тип опор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</w:pPr>
            <w:r w:rsidRPr="00EA7D5C">
              <w:t>Тип изоляции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</w:pPr>
            <w:r w:rsidRPr="00EA7D5C">
              <w:t>Протяжен</w:t>
            </w:r>
            <w:r w:rsidR="00A8233E">
              <w:t>-</w:t>
            </w:r>
            <w:r w:rsidRPr="00EA7D5C">
              <w:t>ность, м</w:t>
            </w:r>
          </w:p>
        </w:tc>
      </w:tr>
      <w:tr w:rsidR="005F2877" w:rsidRPr="00EA7D5C" w:rsidTr="00227CFC">
        <w:trPr>
          <w:cantSplit/>
          <w:trHeight w:val="792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77" w:rsidRPr="00EA7D5C" w:rsidRDefault="005F2877" w:rsidP="00227CFC">
            <w:pPr>
              <w:keepNext/>
            </w:pPr>
            <w:r w:rsidRPr="00EA7D5C">
              <w:t>Переустройство ВЛ 6 кВ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</w:pPr>
            <w:r w:rsidRPr="00EA7D5C">
              <w:t>6 кВ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  <w:rPr>
                <w:color w:val="000000" w:themeColor="text1"/>
              </w:rPr>
            </w:pPr>
            <w:r w:rsidRPr="00EA7D5C">
              <w:rPr>
                <w:color w:val="000000" w:themeColor="text1"/>
              </w:rPr>
              <w:t>АС 95/16 мм2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  <w:rPr>
                <w:color w:val="000000" w:themeColor="text1"/>
              </w:rPr>
            </w:pPr>
            <w:r w:rsidRPr="00EA7D5C">
              <w:rPr>
                <w:color w:val="000000" w:themeColor="text1"/>
              </w:rPr>
              <w:t>Металлические опоры из труб по серии 25.0074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  <w:rPr>
                <w:color w:val="000000" w:themeColor="text1"/>
              </w:rPr>
            </w:pPr>
            <w:r w:rsidRPr="00EA7D5C">
              <w:rPr>
                <w:color w:val="000000" w:themeColor="text1"/>
              </w:rPr>
              <w:t>Стеклянная,</w:t>
            </w:r>
          </w:p>
          <w:p w:rsidR="005F2877" w:rsidRPr="00EA7D5C" w:rsidRDefault="005F2877" w:rsidP="00EA7D5C">
            <w:pPr>
              <w:keepNext/>
              <w:jc w:val="center"/>
              <w:rPr>
                <w:color w:val="000000" w:themeColor="text1"/>
              </w:rPr>
            </w:pPr>
            <w:r w:rsidRPr="00EA7D5C">
              <w:rPr>
                <w:color w:val="000000" w:themeColor="text1"/>
              </w:rPr>
              <w:t>ПС70Е (натяжные)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  <w:rPr>
                <w:color w:val="000000" w:themeColor="text1"/>
              </w:rPr>
            </w:pPr>
            <w:r w:rsidRPr="00EA7D5C">
              <w:rPr>
                <w:color w:val="000000" w:themeColor="text1"/>
              </w:rPr>
              <w:t>570</w:t>
            </w:r>
          </w:p>
        </w:tc>
      </w:tr>
      <w:tr w:rsidR="005F2877" w:rsidRPr="00EA7D5C" w:rsidTr="00227CFC">
        <w:trPr>
          <w:cantSplit/>
          <w:trHeight w:val="792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77" w:rsidRPr="00EA7D5C" w:rsidRDefault="005F2877" w:rsidP="00227CFC">
            <w:pPr>
              <w:keepNext/>
            </w:pPr>
            <w:r w:rsidRPr="00EA7D5C">
              <w:t>Демонтаж и монтаж проводов ВЛ 6 кВ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</w:pPr>
            <w:r w:rsidRPr="00EA7D5C">
              <w:t>6 кВ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  <w:rPr>
                <w:color w:val="000000" w:themeColor="text1"/>
              </w:rPr>
            </w:pPr>
            <w:r w:rsidRPr="00EA7D5C">
              <w:rPr>
                <w:color w:val="000000" w:themeColor="text1"/>
              </w:rPr>
              <w:t>АС 120/19 мм2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  <w:rPr>
                <w:color w:val="000000" w:themeColor="text1"/>
              </w:rPr>
            </w:pPr>
            <w:r w:rsidRPr="00EA7D5C">
              <w:rPr>
                <w:color w:val="000000" w:themeColor="text1"/>
              </w:rPr>
              <w:t>Металлические опоры из труб по серии 25.0074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  <w:rPr>
                <w:color w:val="000000" w:themeColor="text1"/>
              </w:rPr>
            </w:pPr>
            <w:r w:rsidRPr="00EA7D5C">
              <w:rPr>
                <w:color w:val="000000" w:themeColor="text1"/>
              </w:rPr>
              <w:t>Стеклянная,</w:t>
            </w:r>
          </w:p>
          <w:p w:rsidR="005F2877" w:rsidRPr="00EA7D5C" w:rsidRDefault="005F2877" w:rsidP="00EA7D5C">
            <w:pPr>
              <w:keepNext/>
              <w:jc w:val="center"/>
              <w:rPr>
                <w:color w:val="000000" w:themeColor="text1"/>
              </w:rPr>
            </w:pPr>
            <w:r w:rsidRPr="00EA7D5C">
              <w:rPr>
                <w:color w:val="000000" w:themeColor="text1"/>
              </w:rPr>
              <w:t>ПС70Е (натяжные)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  <w:rPr>
                <w:color w:val="000000" w:themeColor="text1"/>
              </w:rPr>
            </w:pPr>
            <w:r w:rsidRPr="00EA7D5C">
              <w:rPr>
                <w:color w:val="000000" w:themeColor="text1"/>
              </w:rPr>
              <w:t>124</w:t>
            </w:r>
          </w:p>
        </w:tc>
      </w:tr>
      <w:tr w:rsidR="005F2877" w:rsidRPr="00EA7D5C" w:rsidTr="00227CFC">
        <w:trPr>
          <w:cantSplit/>
          <w:trHeight w:val="792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CFC" w:rsidRDefault="005F2877" w:rsidP="00227CFC">
            <w:pPr>
              <w:keepNext/>
            </w:pPr>
            <w:r w:rsidRPr="00EA7D5C">
              <w:t xml:space="preserve">КЛ-6 кВ </w:t>
            </w:r>
          </w:p>
          <w:p w:rsidR="005F2877" w:rsidRPr="00EA7D5C" w:rsidRDefault="005F2877" w:rsidP="00227CFC">
            <w:pPr>
              <w:keepNext/>
            </w:pPr>
            <w:r w:rsidRPr="00EA7D5C">
              <w:t>в траншее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</w:pPr>
            <w:r w:rsidRPr="00EA7D5C">
              <w:t>6 кВ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  <w:rPr>
                <w:color w:val="000000" w:themeColor="text1"/>
              </w:rPr>
            </w:pPr>
            <w:r w:rsidRPr="00EA7D5C">
              <w:rPr>
                <w:rFonts w:eastAsiaTheme="minorHAnsi"/>
                <w:color w:val="000000" w:themeColor="text1"/>
                <w:lang w:eastAsia="en-US"/>
              </w:rPr>
              <w:t>Кабель ПвВнг(А)-ХЛ-6кВ 3х120 мм²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  <w:rPr>
                <w:color w:val="000000" w:themeColor="text1"/>
              </w:rPr>
            </w:pPr>
            <w:r w:rsidRPr="00EA7D5C">
              <w:rPr>
                <w:color w:val="000000" w:themeColor="text1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  <w:rPr>
                <w:color w:val="000000" w:themeColor="text1"/>
              </w:rPr>
            </w:pPr>
            <w:r w:rsidRPr="00EA7D5C">
              <w:rPr>
                <w:color w:val="000000" w:themeColor="text1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  <w:rPr>
                <w:color w:val="000000" w:themeColor="text1"/>
              </w:rPr>
            </w:pPr>
            <w:r w:rsidRPr="00EA7D5C">
              <w:rPr>
                <w:color w:val="000000" w:themeColor="text1"/>
              </w:rPr>
              <w:t>110,58</w:t>
            </w:r>
          </w:p>
        </w:tc>
      </w:tr>
      <w:tr w:rsidR="005F2877" w:rsidRPr="00EA7D5C" w:rsidTr="00227CFC">
        <w:trPr>
          <w:cantSplit/>
          <w:trHeight w:val="792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CFC" w:rsidRDefault="005F2877" w:rsidP="00227CFC">
            <w:pPr>
              <w:keepNext/>
            </w:pPr>
            <w:r w:rsidRPr="00EA7D5C">
              <w:t xml:space="preserve">ВЛ 6 кВ </w:t>
            </w:r>
          </w:p>
          <w:p w:rsidR="005F2877" w:rsidRPr="00EA7D5C" w:rsidRDefault="005F2877" w:rsidP="00227CFC">
            <w:pPr>
              <w:keepNext/>
            </w:pPr>
            <w:r w:rsidRPr="00EA7D5C">
              <w:t>на куст 74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</w:pPr>
            <w:r w:rsidRPr="00EA7D5C">
              <w:t>6 кВ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</w:pPr>
            <w:r w:rsidRPr="00EA7D5C">
              <w:t>АС 120/19 мм2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</w:pPr>
            <w:r w:rsidRPr="00EA7D5C">
              <w:t>Металлические опоры из труб по серии 25.0074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</w:pPr>
            <w:r w:rsidRPr="00EA7D5C">
              <w:t>Стеклянная,</w:t>
            </w:r>
          </w:p>
          <w:p w:rsidR="005F2877" w:rsidRPr="00EA7D5C" w:rsidRDefault="005F2877" w:rsidP="00EA7D5C">
            <w:pPr>
              <w:keepNext/>
              <w:jc w:val="center"/>
            </w:pPr>
            <w:r w:rsidRPr="00EA7D5C">
              <w:t>ШС10Г (штыревые), ПС70Е (натяжные)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77" w:rsidRPr="00EA7D5C" w:rsidRDefault="005F2877" w:rsidP="00EA7D5C">
            <w:pPr>
              <w:keepNext/>
              <w:jc w:val="center"/>
            </w:pPr>
            <w:r w:rsidRPr="00EA7D5C">
              <w:t>3 897,33</w:t>
            </w:r>
          </w:p>
        </w:tc>
      </w:tr>
    </w:tbl>
    <w:p w:rsidR="005F2877" w:rsidRPr="00EA7D5C" w:rsidRDefault="005F2877" w:rsidP="00EA7D5C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5F2877" w:rsidRPr="00EA7D5C" w:rsidRDefault="005F2877" w:rsidP="00EA7D5C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5F2877" w:rsidRPr="00EA7D5C" w:rsidRDefault="005F2877" w:rsidP="00EA7D5C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EA7D5C">
        <w:rPr>
          <w:b/>
        </w:rPr>
        <w:t xml:space="preserve">Основные технические характеристики планируемой </w:t>
      </w:r>
    </w:p>
    <w:p w:rsidR="005F2877" w:rsidRDefault="005F2877" w:rsidP="00EA7D5C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EA7D5C">
        <w:rPr>
          <w:b/>
        </w:rPr>
        <w:t>волоконно-оптической линии связи (ВОЛС)</w:t>
      </w:r>
    </w:p>
    <w:p w:rsidR="009A2D0B" w:rsidRPr="00EA7D5C" w:rsidRDefault="009A2D0B" w:rsidP="00EA7D5C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2126"/>
        <w:gridCol w:w="2186"/>
        <w:gridCol w:w="2584"/>
      </w:tblGrid>
      <w:tr w:rsidR="005F2877" w:rsidRPr="00EA7D5C" w:rsidTr="009A2D0B">
        <w:tc>
          <w:tcPr>
            <w:tcW w:w="2743" w:type="dxa"/>
            <w:shd w:val="clear" w:color="auto" w:fill="auto"/>
            <w:vAlign w:val="center"/>
          </w:tcPr>
          <w:p w:rsidR="005F2877" w:rsidRPr="00EA7D5C" w:rsidRDefault="005F2877" w:rsidP="009A2D0B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A7D5C"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2877" w:rsidRPr="00EA7D5C" w:rsidRDefault="005F2877" w:rsidP="009A2D0B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A7D5C">
              <w:t>Количество волокон, шт</w:t>
            </w:r>
            <w:r w:rsidR="009A2D0B">
              <w:t>.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F2877" w:rsidRPr="00EA7D5C" w:rsidRDefault="005F2877" w:rsidP="009A2D0B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A7D5C">
              <w:t>Скорость передачи данных, Гбит/с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9A2D0B" w:rsidRDefault="005F2877" w:rsidP="009A2D0B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A7D5C">
              <w:t xml:space="preserve">Протяжённость, </w:t>
            </w:r>
          </w:p>
          <w:p w:rsidR="005F2877" w:rsidRPr="00EA7D5C" w:rsidRDefault="005F2877" w:rsidP="009A2D0B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A7D5C">
              <w:t>м</w:t>
            </w:r>
          </w:p>
        </w:tc>
      </w:tr>
      <w:tr w:rsidR="005F2877" w:rsidRPr="00EA7D5C" w:rsidTr="005F2877">
        <w:tc>
          <w:tcPr>
            <w:tcW w:w="2743" w:type="dxa"/>
            <w:shd w:val="clear" w:color="auto" w:fill="auto"/>
            <w:vAlign w:val="bottom"/>
          </w:tcPr>
          <w:p w:rsidR="005F2877" w:rsidRPr="00EA7D5C" w:rsidRDefault="005F2877" w:rsidP="00EA7D5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</w:pPr>
            <w:r w:rsidRPr="00EA7D5C">
              <w:t>ВОЛС на куст 74</w:t>
            </w:r>
          </w:p>
        </w:tc>
        <w:tc>
          <w:tcPr>
            <w:tcW w:w="2126" w:type="dxa"/>
            <w:shd w:val="clear" w:color="auto" w:fill="auto"/>
          </w:tcPr>
          <w:p w:rsidR="005F2877" w:rsidRPr="00EA7D5C" w:rsidRDefault="005F2877" w:rsidP="009A2D0B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A7D5C">
              <w:t>16</w:t>
            </w:r>
          </w:p>
        </w:tc>
        <w:tc>
          <w:tcPr>
            <w:tcW w:w="2186" w:type="dxa"/>
            <w:shd w:val="clear" w:color="auto" w:fill="auto"/>
          </w:tcPr>
          <w:p w:rsidR="005F2877" w:rsidRPr="00EA7D5C" w:rsidRDefault="005F2877" w:rsidP="009A2D0B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A7D5C">
              <w:t>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5F2877" w:rsidRPr="00EA7D5C" w:rsidRDefault="005F2877" w:rsidP="009A2D0B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A7D5C">
              <w:t>1 957,43</w:t>
            </w:r>
          </w:p>
        </w:tc>
      </w:tr>
    </w:tbl>
    <w:p w:rsidR="005F2877" w:rsidRPr="00EA7D5C" w:rsidRDefault="005F2877" w:rsidP="00EA7D5C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both"/>
        <w:rPr>
          <w:b/>
        </w:rPr>
      </w:pPr>
    </w:p>
    <w:p w:rsidR="005F2877" w:rsidRPr="00EA7D5C" w:rsidRDefault="005F2877" w:rsidP="00EA7D5C">
      <w:pPr>
        <w:jc w:val="center"/>
        <w:rPr>
          <w:b/>
        </w:rPr>
      </w:pPr>
    </w:p>
    <w:p w:rsidR="005F2877" w:rsidRPr="00EA7D5C" w:rsidRDefault="005F2877" w:rsidP="00EA7D5C">
      <w:pPr>
        <w:jc w:val="right"/>
      </w:pPr>
    </w:p>
    <w:sectPr w:rsidR="005F2877" w:rsidRPr="00EA7D5C" w:rsidSect="00EA7D5C"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C7" w:rsidRDefault="00EA4BC7">
      <w:r>
        <w:separator/>
      </w:r>
    </w:p>
  </w:endnote>
  <w:endnote w:type="continuationSeparator" w:id="0">
    <w:p w:rsidR="00EA4BC7" w:rsidRDefault="00EA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77" w:rsidRPr="008E2653" w:rsidRDefault="005F2877" w:rsidP="008E2653">
    <w:pPr>
      <w:pStyle w:val="aa"/>
    </w:pPr>
    <w:r w:rsidRPr="008E2653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8879D9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8879D9" w:rsidRPr="00FF3490" w:rsidRDefault="008879D9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8879D9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8879D9" w:rsidRDefault="008879D9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8879D9" w:rsidRDefault="008879D9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0B2109">
            <w:rPr>
              <w:rStyle w:val="ad"/>
              <w:rFonts w:cs="Arial"/>
              <w:b/>
              <w:noProof/>
              <w:sz w:val="12"/>
              <w:szCs w:val="12"/>
            </w:rPr>
            <w:t>16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8879D9" w:rsidRPr="005B7C26" w:rsidRDefault="008879D9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8879D9" w:rsidRDefault="008879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C7" w:rsidRDefault="00EA4BC7">
      <w:r>
        <w:separator/>
      </w:r>
    </w:p>
  </w:footnote>
  <w:footnote w:type="continuationSeparator" w:id="0">
    <w:p w:rsidR="00EA4BC7" w:rsidRDefault="00EA4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21671"/>
      <w:docPartObj>
        <w:docPartGallery w:val="Page Numbers (Top of Page)"/>
        <w:docPartUnique/>
      </w:docPartObj>
    </w:sdtPr>
    <w:sdtEndPr/>
    <w:sdtContent>
      <w:p w:rsidR="00330AA7" w:rsidRDefault="00330A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71B">
          <w:rPr>
            <w:noProof/>
          </w:rPr>
          <w:t>2</w:t>
        </w:r>
        <w:r>
          <w:fldChar w:fldCharType="end"/>
        </w:r>
      </w:p>
    </w:sdtContent>
  </w:sdt>
  <w:p w:rsidR="00330AA7" w:rsidRDefault="00330A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8879D9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8879D9" w:rsidRPr="00767607" w:rsidRDefault="008879D9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8879D9" w:rsidRPr="00833DF4" w:rsidRDefault="008879D9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8879D9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8879D9" w:rsidRDefault="008879D9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8879D9" w:rsidRPr="00855659" w:rsidRDefault="008879D9">
    <w:pPr>
      <w:pStyle w:val="a8"/>
      <w:rPr>
        <w:sz w:val="16"/>
        <w:szCs w:val="16"/>
      </w:rPr>
    </w:pPr>
  </w:p>
  <w:p w:rsidR="008879D9" w:rsidRDefault="008879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01C95"/>
    <w:multiLevelType w:val="multilevel"/>
    <w:tmpl w:val="3D3A5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109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27CFC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30AA7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5F2877"/>
    <w:rsid w:val="006163D6"/>
    <w:rsid w:val="00616975"/>
    <w:rsid w:val="00617338"/>
    <w:rsid w:val="006241D1"/>
    <w:rsid w:val="00640662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B771B"/>
    <w:rsid w:val="007D210C"/>
    <w:rsid w:val="007D6C17"/>
    <w:rsid w:val="007E7B50"/>
    <w:rsid w:val="007F126D"/>
    <w:rsid w:val="00804BDC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E2653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2D0B"/>
    <w:rsid w:val="009A6B4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75C1"/>
    <w:rsid w:val="00A54F46"/>
    <w:rsid w:val="00A6740F"/>
    <w:rsid w:val="00A7285D"/>
    <w:rsid w:val="00A8233E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E1637"/>
    <w:rsid w:val="00DF66BF"/>
    <w:rsid w:val="00E03719"/>
    <w:rsid w:val="00E15D98"/>
    <w:rsid w:val="00E2340E"/>
    <w:rsid w:val="00E4334B"/>
    <w:rsid w:val="00E50FE6"/>
    <w:rsid w:val="00E57933"/>
    <w:rsid w:val="00E57DAF"/>
    <w:rsid w:val="00E731C9"/>
    <w:rsid w:val="00E85C89"/>
    <w:rsid w:val="00E92E68"/>
    <w:rsid w:val="00E976C1"/>
    <w:rsid w:val="00E97F33"/>
    <w:rsid w:val="00EA4BC7"/>
    <w:rsid w:val="00EA7D5C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45CAC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C9107-9699-4872-8709-1950333D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4179</Words>
  <Characters>23824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2019-10-30T11:53:00Z</cp:lastPrinted>
  <dcterms:created xsi:type="dcterms:W3CDTF">2019-11-01T12:07:00Z</dcterms:created>
  <dcterms:modified xsi:type="dcterms:W3CDTF">2019-11-01T12:07:00Z</dcterms:modified>
</cp:coreProperties>
</file>