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AF" w:rsidRPr="00163E4A" w:rsidRDefault="009C6AAF" w:rsidP="009F1D25">
      <w:pPr>
        <w:spacing w:after="160"/>
        <w:jc w:val="right"/>
        <w:rPr>
          <w:rFonts w:ascii="Arial" w:hAnsi="Arial" w:cs="Arial"/>
          <w:spacing w:val="-2"/>
        </w:rPr>
      </w:pPr>
    </w:p>
    <w:p w:rsidR="00542141" w:rsidRPr="00542141" w:rsidRDefault="00542141" w:rsidP="00542141">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42141" w:rsidRPr="00542141" w:rsidRDefault="00542141" w:rsidP="00542141">
      <w:pPr>
        <w:jc w:val="center"/>
        <w:rPr>
          <w:b/>
          <w:sz w:val="20"/>
          <w:szCs w:val="20"/>
        </w:rPr>
      </w:pPr>
    </w:p>
    <w:p w:rsidR="00542141" w:rsidRPr="00542141" w:rsidRDefault="00542141" w:rsidP="00542141">
      <w:pPr>
        <w:jc w:val="center"/>
        <w:rPr>
          <w:b/>
          <w:sz w:val="42"/>
          <w:szCs w:val="42"/>
        </w:rPr>
      </w:pPr>
      <w:r w:rsidRPr="00542141">
        <w:rPr>
          <w:b/>
          <w:sz w:val="42"/>
          <w:szCs w:val="42"/>
        </w:rPr>
        <w:t xml:space="preserve">АДМИНИСТРАЦИЯ  </w:t>
      </w:r>
    </w:p>
    <w:p w:rsidR="00542141" w:rsidRPr="00542141" w:rsidRDefault="00542141" w:rsidP="00542141">
      <w:pPr>
        <w:jc w:val="center"/>
        <w:rPr>
          <w:b/>
          <w:sz w:val="19"/>
          <w:szCs w:val="42"/>
        </w:rPr>
      </w:pPr>
      <w:r w:rsidRPr="00542141">
        <w:rPr>
          <w:b/>
          <w:sz w:val="42"/>
          <w:szCs w:val="42"/>
        </w:rPr>
        <w:t>НЕФТЕЮГАНСКОГО  РАЙОНА</w:t>
      </w:r>
    </w:p>
    <w:p w:rsidR="00542141" w:rsidRPr="00542141" w:rsidRDefault="00542141" w:rsidP="00542141">
      <w:pPr>
        <w:jc w:val="center"/>
        <w:rPr>
          <w:b/>
          <w:sz w:val="32"/>
        </w:rPr>
      </w:pPr>
    </w:p>
    <w:p w:rsidR="00542141" w:rsidRPr="00542141" w:rsidRDefault="00542141" w:rsidP="00542141">
      <w:pPr>
        <w:jc w:val="center"/>
        <w:rPr>
          <w:b/>
          <w:caps/>
          <w:sz w:val="36"/>
          <w:szCs w:val="38"/>
        </w:rPr>
      </w:pPr>
      <w:r w:rsidRPr="00542141">
        <w:rPr>
          <w:b/>
          <w:caps/>
          <w:sz w:val="36"/>
          <w:szCs w:val="38"/>
        </w:rPr>
        <w:t>постановление</w:t>
      </w:r>
    </w:p>
    <w:p w:rsidR="00542141" w:rsidRPr="00542141" w:rsidRDefault="00542141" w:rsidP="00542141">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42141" w:rsidRPr="00542141" w:rsidTr="00447030">
        <w:tblPrEx>
          <w:tblCellMar>
            <w:top w:w="0" w:type="dxa"/>
            <w:bottom w:w="0" w:type="dxa"/>
          </w:tblCellMar>
        </w:tblPrEx>
        <w:trPr>
          <w:cantSplit/>
          <w:trHeight w:val="232"/>
        </w:trPr>
        <w:tc>
          <w:tcPr>
            <w:tcW w:w="3119" w:type="dxa"/>
            <w:tcBorders>
              <w:bottom w:val="single" w:sz="4" w:space="0" w:color="auto"/>
            </w:tcBorders>
          </w:tcPr>
          <w:p w:rsidR="00542141" w:rsidRPr="00542141" w:rsidRDefault="00542141" w:rsidP="00542141">
            <w:pPr>
              <w:jc w:val="center"/>
              <w:rPr>
                <w:sz w:val="26"/>
                <w:szCs w:val="26"/>
              </w:rPr>
            </w:pPr>
            <w:r>
              <w:rPr>
                <w:sz w:val="26"/>
                <w:szCs w:val="26"/>
              </w:rPr>
              <w:t>26</w:t>
            </w:r>
            <w:r w:rsidRPr="00542141">
              <w:rPr>
                <w:sz w:val="26"/>
                <w:szCs w:val="26"/>
              </w:rPr>
              <w:t>.07.2018</w:t>
            </w:r>
          </w:p>
        </w:tc>
        <w:tc>
          <w:tcPr>
            <w:tcW w:w="6595" w:type="dxa"/>
            <w:vMerge w:val="restart"/>
          </w:tcPr>
          <w:p w:rsidR="00542141" w:rsidRPr="00542141" w:rsidRDefault="00542141" w:rsidP="00542141">
            <w:pPr>
              <w:jc w:val="right"/>
              <w:rPr>
                <w:sz w:val="26"/>
                <w:szCs w:val="26"/>
                <w:u w:val="single"/>
              </w:rPr>
            </w:pPr>
            <w:r w:rsidRPr="00542141">
              <w:rPr>
                <w:sz w:val="26"/>
                <w:szCs w:val="26"/>
              </w:rPr>
              <w:t>№</w:t>
            </w:r>
            <w:r w:rsidRPr="00542141">
              <w:rPr>
                <w:sz w:val="26"/>
                <w:szCs w:val="26"/>
                <w:u w:val="single"/>
              </w:rPr>
              <w:t xml:space="preserve"> 1</w:t>
            </w:r>
            <w:r>
              <w:rPr>
                <w:sz w:val="26"/>
                <w:szCs w:val="26"/>
                <w:u w:val="single"/>
              </w:rPr>
              <w:t>211</w:t>
            </w:r>
            <w:r w:rsidRPr="00542141">
              <w:rPr>
                <w:sz w:val="26"/>
                <w:szCs w:val="26"/>
                <w:u w:val="single"/>
              </w:rPr>
              <w:t>-па</w:t>
            </w:r>
          </w:p>
        </w:tc>
      </w:tr>
      <w:tr w:rsidR="00542141" w:rsidRPr="00542141" w:rsidTr="00447030">
        <w:tblPrEx>
          <w:tblCellMar>
            <w:top w:w="0" w:type="dxa"/>
            <w:bottom w:w="0" w:type="dxa"/>
          </w:tblCellMar>
        </w:tblPrEx>
        <w:trPr>
          <w:cantSplit/>
          <w:trHeight w:val="232"/>
        </w:trPr>
        <w:tc>
          <w:tcPr>
            <w:tcW w:w="3119" w:type="dxa"/>
          </w:tcPr>
          <w:p w:rsidR="00542141" w:rsidRPr="00542141" w:rsidRDefault="00542141" w:rsidP="00542141">
            <w:pPr>
              <w:rPr>
                <w:sz w:val="4"/>
              </w:rPr>
            </w:pPr>
          </w:p>
          <w:p w:rsidR="00542141" w:rsidRPr="00542141" w:rsidRDefault="00542141" w:rsidP="00542141">
            <w:pPr>
              <w:jc w:val="center"/>
              <w:rPr>
                <w:sz w:val="20"/>
              </w:rPr>
            </w:pPr>
          </w:p>
        </w:tc>
        <w:tc>
          <w:tcPr>
            <w:tcW w:w="6595" w:type="dxa"/>
            <w:vMerge/>
          </w:tcPr>
          <w:p w:rsidR="00542141" w:rsidRPr="00542141" w:rsidRDefault="00542141" w:rsidP="00542141">
            <w:pPr>
              <w:jc w:val="right"/>
              <w:rPr>
                <w:sz w:val="20"/>
              </w:rPr>
            </w:pPr>
          </w:p>
        </w:tc>
      </w:tr>
    </w:tbl>
    <w:p w:rsidR="00E12C94" w:rsidRDefault="00542141" w:rsidP="00E7253C">
      <w:pPr>
        <w:jc w:val="center"/>
        <w:rPr>
          <w:sz w:val="26"/>
          <w:szCs w:val="26"/>
        </w:rPr>
      </w:pPr>
      <w:r w:rsidRPr="00542141">
        <w:t>г.Нефтеюганск</w:t>
      </w:r>
    </w:p>
    <w:p w:rsidR="00E12C94" w:rsidRDefault="00E12C94" w:rsidP="00E7253C">
      <w:pPr>
        <w:jc w:val="center"/>
        <w:rPr>
          <w:sz w:val="26"/>
          <w:szCs w:val="26"/>
        </w:rPr>
      </w:pPr>
    </w:p>
    <w:p w:rsidR="009C6AAF" w:rsidRDefault="009F1D25" w:rsidP="00E7253C">
      <w:pPr>
        <w:jc w:val="center"/>
        <w:rPr>
          <w:sz w:val="26"/>
          <w:szCs w:val="26"/>
        </w:rPr>
      </w:pPr>
      <w:r>
        <w:rPr>
          <w:sz w:val="26"/>
          <w:szCs w:val="26"/>
        </w:rPr>
        <w:t xml:space="preserve">О </w:t>
      </w:r>
      <w:r w:rsidR="006B0B6E">
        <w:rPr>
          <w:sz w:val="26"/>
          <w:szCs w:val="26"/>
        </w:rPr>
        <w:t xml:space="preserve">внесении изменений в постановление администрации Нефтеюганского района  </w:t>
      </w:r>
      <w:r w:rsidR="00E12C94">
        <w:rPr>
          <w:sz w:val="26"/>
          <w:szCs w:val="26"/>
        </w:rPr>
        <w:br/>
      </w:r>
      <w:r w:rsidR="00AB67CE">
        <w:rPr>
          <w:sz w:val="26"/>
          <w:szCs w:val="26"/>
        </w:rPr>
        <w:t xml:space="preserve">от </w:t>
      </w:r>
      <w:r w:rsidR="007A18E0">
        <w:rPr>
          <w:sz w:val="26"/>
          <w:szCs w:val="26"/>
        </w:rPr>
        <w:t>02</w:t>
      </w:r>
      <w:r w:rsidR="006B0B6E">
        <w:rPr>
          <w:sz w:val="26"/>
          <w:szCs w:val="26"/>
        </w:rPr>
        <w:t>.0</w:t>
      </w:r>
      <w:r w:rsidR="007A18E0">
        <w:rPr>
          <w:sz w:val="26"/>
          <w:szCs w:val="26"/>
        </w:rPr>
        <w:t>4</w:t>
      </w:r>
      <w:r w:rsidR="006B0B6E">
        <w:rPr>
          <w:sz w:val="26"/>
          <w:szCs w:val="26"/>
        </w:rPr>
        <w:t xml:space="preserve">.2018 </w:t>
      </w:r>
      <w:r w:rsidR="00AB67CE">
        <w:rPr>
          <w:sz w:val="26"/>
          <w:szCs w:val="26"/>
        </w:rPr>
        <w:t>№</w:t>
      </w:r>
      <w:r w:rsidR="009B5421">
        <w:rPr>
          <w:sz w:val="26"/>
          <w:szCs w:val="26"/>
        </w:rPr>
        <w:t xml:space="preserve"> </w:t>
      </w:r>
      <w:r w:rsidR="007A18E0">
        <w:rPr>
          <w:sz w:val="26"/>
          <w:szCs w:val="26"/>
        </w:rPr>
        <w:t>456</w:t>
      </w:r>
      <w:r w:rsidR="00AB67CE">
        <w:rPr>
          <w:sz w:val="26"/>
          <w:szCs w:val="26"/>
        </w:rPr>
        <w:t>-па «О</w:t>
      </w:r>
      <w:r w:rsidR="009B5421">
        <w:rPr>
          <w:sz w:val="26"/>
          <w:szCs w:val="26"/>
        </w:rPr>
        <w:t xml:space="preserve">б утверждении проекта планировки </w:t>
      </w:r>
      <w:r w:rsidR="00B33EE7">
        <w:rPr>
          <w:sz w:val="26"/>
          <w:szCs w:val="26"/>
        </w:rPr>
        <w:t xml:space="preserve">и проекта межевания </w:t>
      </w:r>
      <w:r w:rsidR="009B5421">
        <w:rPr>
          <w:sz w:val="26"/>
          <w:szCs w:val="26"/>
        </w:rPr>
        <w:t>т</w:t>
      </w:r>
      <w:r w:rsidR="00DA0CF1">
        <w:rPr>
          <w:sz w:val="26"/>
          <w:szCs w:val="26"/>
        </w:rPr>
        <w:t xml:space="preserve">ерритории </w:t>
      </w:r>
      <w:r w:rsidR="00FD0ED0">
        <w:rPr>
          <w:sz w:val="26"/>
          <w:szCs w:val="26"/>
        </w:rPr>
        <w:t xml:space="preserve">для размещения </w:t>
      </w:r>
      <w:r w:rsidR="007A18E0">
        <w:rPr>
          <w:sz w:val="26"/>
          <w:szCs w:val="26"/>
        </w:rPr>
        <w:t xml:space="preserve">линейного </w:t>
      </w:r>
      <w:r w:rsidR="00FD0ED0">
        <w:rPr>
          <w:sz w:val="26"/>
          <w:szCs w:val="26"/>
        </w:rPr>
        <w:t>объекта</w:t>
      </w:r>
      <w:r w:rsidR="00E7253C">
        <w:rPr>
          <w:sz w:val="26"/>
          <w:szCs w:val="26"/>
        </w:rPr>
        <w:t xml:space="preserve">: </w:t>
      </w:r>
      <w:r w:rsidR="00D5289B">
        <w:rPr>
          <w:sz w:val="26"/>
          <w:szCs w:val="26"/>
        </w:rPr>
        <w:t>«</w:t>
      </w:r>
      <w:r w:rsidR="009B5421">
        <w:rPr>
          <w:sz w:val="26"/>
          <w:szCs w:val="26"/>
        </w:rPr>
        <w:t xml:space="preserve">Обустройство </w:t>
      </w:r>
      <w:r w:rsidR="007A18E0">
        <w:rPr>
          <w:sz w:val="26"/>
          <w:szCs w:val="26"/>
        </w:rPr>
        <w:t>Верхнесалымского месторождения. Куст скважин № 20</w:t>
      </w:r>
      <w:r w:rsidR="009B5421">
        <w:rPr>
          <w:sz w:val="26"/>
          <w:szCs w:val="26"/>
        </w:rPr>
        <w:t>»</w:t>
      </w:r>
    </w:p>
    <w:p w:rsidR="009E656E" w:rsidRDefault="009E656E" w:rsidP="009F1D25">
      <w:pPr>
        <w:jc w:val="center"/>
        <w:rPr>
          <w:sz w:val="26"/>
          <w:szCs w:val="26"/>
        </w:rPr>
      </w:pPr>
    </w:p>
    <w:p w:rsidR="00E12C94" w:rsidRDefault="00E12C94" w:rsidP="009F1D25">
      <w:pPr>
        <w:jc w:val="center"/>
        <w:rPr>
          <w:sz w:val="26"/>
          <w:szCs w:val="26"/>
        </w:rPr>
      </w:pPr>
    </w:p>
    <w:p w:rsidR="009F1D25" w:rsidRPr="005E655C" w:rsidRDefault="00826D89" w:rsidP="008C4F94">
      <w:pPr>
        <w:ind w:firstLine="708"/>
        <w:jc w:val="both"/>
        <w:rPr>
          <w:sz w:val="26"/>
          <w:szCs w:val="26"/>
        </w:rPr>
      </w:pPr>
      <w:r>
        <w:rPr>
          <w:sz w:val="26"/>
          <w:szCs w:val="26"/>
        </w:rPr>
        <w:t xml:space="preserve">В </w:t>
      </w:r>
      <w:r w:rsidRPr="00A5451A">
        <w:rPr>
          <w:color w:val="000000" w:themeColor="text1"/>
          <w:sz w:val="26"/>
          <w:szCs w:val="26"/>
        </w:rPr>
        <w:t>соответствии</w:t>
      </w:r>
      <w:r w:rsidR="009F1D25" w:rsidRPr="00A5451A">
        <w:rPr>
          <w:color w:val="000000" w:themeColor="text1"/>
          <w:sz w:val="26"/>
          <w:szCs w:val="26"/>
        </w:rPr>
        <w:t xml:space="preserve"> </w:t>
      </w:r>
      <w:r w:rsidR="00C066D8" w:rsidRPr="00A5451A">
        <w:rPr>
          <w:color w:val="000000" w:themeColor="text1"/>
          <w:sz w:val="26"/>
          <w:szCs w:val="26"/>
        </w:rPr>
        <w:t xml:space="preserve">с </w:t>
      </w:r>
      <w:r w:rsidR="00474F8F">
        <w:rPr>
          <w:color w:val="000000" w:themeColor="text1"/>
          <w:sz w:val="26"/>
          <w:szCs w:val="26"/>
        </w:rPr>
        <w:t>частью 21 статьи 45</w:t>
      </w:r>
      <w:r w:rsidR="00474F8F" w:rsidRPr="00474F8F">
        <w:t xml:space="preserve"> </w:t>
      </w:r>
      <w:r w:rsidR="00474F8F" w:rsidRPr="00474F8F">
        <w:rPr>
          <w:color w:val="000000" w:themeColor="text1"/>
          <w:sz w:val="26"/>
          <w:szCs w:val="26"/>
        </w:rPr>
        <w:t>Градостроительн</w:t>
      </w:r>
      <w:r w:rsidR="00474F8F">
        <w:rPr>
          <w:color w:val="000000" w:themeColor="text1"/>
          <w:sz w:val="26"/>
          <w:szCs w:val="26"/>
        </w:rPr>
        <w:t>ого</w:t>
      </w:r>
      <w:r w:rsidR="00474F8F" w:rsidRPr="00474F8F">
        <w:rPr>
          <w:color w:val="000000" w:themeColor="text1"/>
          <w:sz w:val="26"/>
          <w:szCs w:val="26"/>
        </w:rPr>
        <w:t xml:space="preserve"> кодекс</w:t>
      </w:r>
      <w:r w:rsidR="00474F8F">
        <w:rPr>
          <w:color w:val="000000" w:themeColor="text1"/>
          <w:sz w:val="26"/>
          <w:szCs w:val="26"/>
        </w:rPr>
        <w:t>а</w:t>
      </w:r>
      <w:r w:rsidR="00474F8F" w:rsidRPr="00474F8F">
        <w:rPr>
          <w:color w:val="000000" w:themeColor="text1"/>
          <w:sz w:val="26"/>
          <w:szCs w:val="26"/>
        </w:rPr>
        <w:t xml:space="preserve"> Российской Федерации</w:t>
      </w:r>
      <w:r w:rsidR="00C066D8" w:rsidRPr="00A5451A">
        <w:rPr>
          <w:color w:val="000000" w:themeColor="text1"/>
          <w:sz w:val="26"/>
          <w:szCs w:val="26"/>
        </w:rPr>
        <w:t xml:space="preserve">, </w:t>
      </w:r>
      <w:r w:rsidR="007A18E0" w:rsidRPr="007A18E0">
        <w:rPr>
          <w:color w:val="000000" w:themeColor="text1"/>
          <w:sz w:val="26"/>
          <w:szCs w:val="26"/>
        </w:rPr>
        <w:t>на основании заявлени</w:t>
      </w:r>
      <w:r w:rsidR="00474F8F">
        <w:rPr>
          <w:color w:val="000000" w:themeColor="text1"/>
          <w:sz w:val="26"/>
          <w:szCs w:val="26"/>
        </w:rPr>
        <w:t>я</w:t>
      </w:r>
      <w:r w:rsidR="007A18E0" w:rsidRPr="007A18E0">
        <w:rPr>
          <w:color w:val="000000" w:themeColor="text1"/>
          <w:sz w:val="26"/>
          <w:szCs w:val="26"/>
        </w:rPr>
        <w:t xml:space="preserve"> </w:t>
      </w:r>
      <w:r w:rsidR="00474F8F">
        <w:rPr>
          <w:color w:val="000000" w:themeColor="text1"/>
          <w:sz w:val="26"/>
          <w:szCs w:val="26"/>
        </w:rPr>
        <w:t>К</w:t>
      </w:r>
      <w:r w:rsidR="007A18E0" w:rsidRPr="007A18E0">
        <w:rPr>
          <w:color w:val="000000" w:themeColor="text1"/>
          <w:sz w:val="26"/>
          <w:szCs w:val="26"/>
        </w:rPr>
        <w:t xml:space="preserve">омпании «Салым Петролеум Девелопмент Н.В.» от </w:t>
      </w:r>
      <w:r w:rsidR="007A18E0">
        <w:rPr>
          <w:color w:val="000000" w:themeColor="text1"/>
          <w:sz w:val="26"/>
          <w:szCs w:val="26"/>
        </w:rPr>
        <w:t>22.06</w:t>
      </w:r>
      <w:r w:rsidR="007A18E0" w:rsidRPr="007A18E0">
        <w:rPr>
          <w:color w:val="000000" w:themeColor="text1"/>
          <w:sz w:val="26"/>
          <w:szCs w:val="26"/>
        </w:rPr>
        <w:t>.2018 № SPDN-18-00</w:t>
      </w:r>
      <w:r w:rsidR="007A18E0">
        <w:rPr>
          <w:color w:val="000000" w:themeColor="text1"/>
          <w:sz w:val="26"/>
          <w:szCs w:val="26"/>
        </w:rPr>
        <w:t xml:space="preserve">2900 </w:t>
      </w:r>
      <w:r w:rsidR="007A18E0" w:rsidRPr="007A18E0">
        <w:rPr>
          <w:color w:val="000000" w:themeColor="text1"/>
          <w:sz w:val="26"/>
          <w:szCs w:val="26"/>
        </w:rPr>
        <w:t xml:space="preserve"> п о с т а н о в л я ю:</w:t>
      </w:r>
    </w:p>
    <w:p w:rsidR="00FC2910" w:rsidRDefault="00FC2910" w:rsidP="001C1D1A">
      <w:pPr>
        <w:jc w:val="both"/>
        <w:rPr>
          <w:sz w:val="26"/>
          <w:szCs w:val="26"/>
        </w:rPr>
      </w:pPr>
    </w:p>
    <w:p w:rsidR="00826D89" w:rsidRPr="009B5421" w:rsidRDefault="006B0B6E" w:rsidP="00922FC3">
      <w:pPr>
        <w:pStyle w:val="a3"/>
        <w:numPr>
          <w:ilvl w:val="0"/>
          <w:numId w:val="1"/>
        </w:numPr>
        <w:tabs>
          <w:tab w:val="left" w:pos="0"/>
          <w:tab w:val="left" w:pos="1134"/>
        </w:tabs>
        <w:ind w:left="0" w:firstLine="709"/>
        <w:jc w:val="both"/>
        <w:rPr>
          <w:sz w:val="26"/>
          <w:szCs w:val="26"/>
        </w:rPr>
      </w:pPr>
      <w:r w:rsidRPr="00AB67CE">
        <w:rPr>
          <w:sz w:val="26"/>
          <w:szCs w:val="26"/>
        </w:rPr>
        <w:t>В</w:t>
      </w:r>
      <w:r w:rsidR="00AB67CE" w:rsidRPr="00AB67CE">
        <w:rPr>
          <w:sz w:val="26"/>
          <w:szCs w:val="26"/>
        </w:rPr>
        <w:t xml:space="preserve">нести </w:t>
      </w:r>
      <w:r w:rsidR="00AB67CE">
        <w:rPr>
          <w:sz w:val="26"/>
          <w:szCs w:val="26"/>
        </w:rPr>
        <w:t>в</w:t>
      </w:r>
      <w:r w:rsidR="00AB67CE" w:rsidRPr="00AB67CE">
        <w:rPr>
          <w:sz w:val="26"/>
          <w:szCs w:val="26"/>
        </w:rPr>
        <w:t xml:space="preserve"> </w:t>
      </w:r>
      <w:r w:rsidR="008B6AC0">
        <w:rPr>
          <w:sz w:val="26"/>
          <w:szCs w:val="26"/>
        </w:rPr>
        <w:t>приложени</w:t>
      </w:r>
      <w:r w:rsidR="0079623C">
        <w:rPr>
          <w:sz w:val="26"/>
          <w:szCs w:val="26"/>
        </w:rPr>
        <w:t>е</w:t>
      </w:r>
      <w:r w:rsidR="008B6AC0">
        <w:rPr>
          <w:sz w:val="26"/>
          <w:szCs w:val="26"/>
        </w:rPr>
        <w:t xml:space="preserve"> к </w:t>
      </w:r>
      <w:r w:rsidR="00AB67CE" w:rsidRPr="00AB67CE">
        <w:rPr>
          <w:sz w:val="26"/>
          <w:szCs w:val="26"/>
        </w:rPr>
        <w:t>постановлени</w:t>
      </w:r>
      <w:r w:rsidR="008B6AC0">
        <w:rPr>
          <w:sz w:val="26"/>
          <w:szCs w:val="26"/>
        </w:rPr>
        <w:t>ю</w:t>
      </w:r>
      <w:r w:rsidR="00AB67CE" w:rsidRPr="00AB67CE">
        <w:rPr>
          <w:sz w:val="26"/>
          <w:szCs w:val="26"/>
        </w:rPr>
        <w:t xml:space="preserve"> администрации Нефтеюганского района от </w:t>
      </w:r>
      <w:r w:rsidR="007A18E0">
        <w:rPr>
          <w:sz w:val="26"/>
          <w:szCs w:val="26"/>
        </w:rPr>
        <w:t>02</w:t>
      </w:r>
      <w:r w:rsidR="00AB67CE" w:rsidRPr="00AB67CE">
        <w:rPr>
          <w:sz w:val="26"/>
          <w:szCs w:val="26"/>
        </w:rPr>
        <w:t>.0</w:t>
      </w:r>
      <w:r w:rsidR="007A18E0">
        <w:rPr>
          <w:sz w:val="26"/>
          <w:szCs w:val="26"/>
        </w:rPr>
        <w:t>4</w:t>
      </w:r>
      <w:r w:rsidR="00AB67CE" w:rsidRPr="00AB67CE">
        <w:rPr>
          <w:sz w:val="26"/>
          <w:szCs w:val="26"/>
        </w:rPr>
        <w:t xml:space="preserve">.2018 № </w:t>
      </w:r>
      <w:r w:rsidR="007A18E0">
        <w:rPr>
          <w:sz w:val="26"/>
          <w:szCs w:val="26"/>
        </w:rPr>
        <w:t>456</w:t>
      </w:r>
      <w:r w:rsidR="00AB67CE" w:rsidRPr="00AB67CE">
        <w:rPr>
          <w:sz w:val="26"/>
          <w:szCs w:val="26"/>
        </w:rPr>
        <w:t xml:space="preserve">-па </w:t>
      </w:r>
      <w:r w:rsidR="009B5421" w:rsidRPr="009B5421">
        <w:rPr>
          <w:sz w:val="26"/>
          <w:szCs w:val="26"/>
        </w:rPr>
        <w:t xml:space="preserve">«Об утверждении проекта планировки </w:t>
      </w:r>
      <w:r w:rsidR="00AB7905">
        <w:rPr>
          <w:sz w:val="26"/>
          <w:szCs w:val="26"/>
        </w:rPr>
        <w:t xml:space="preserve">и проекта межевания </w:t>
      </w:r>
      <w:r w:rsidR="009B5421" w:rsidRPr="009B5421">
        <w:rPr>
          <w:sz w:val="26"/>
          <w:szCs w:val="26"/>
        </w:rPr>
        <w:t xml:space="preserve">территории для размещения </w:t>
      </w:r>
      <w:r w:rsidR="007A18E0">
        <w:rPr>
          <w:sz w:val="26"/>
          <w:szCs w:val="26"/>
        </w:rPr>
        <w:t xml:space="preserve">линейного </w:t>
      </w:r>
      <w:r w:rsidR="009B5421" w:rsidRPr="009B5421">
        <w:rPr>
          <w:sz w:val="26"/>
          <w:szCs w:val="26"/>
        </w:rPr>
        <w:t xml:space="preserve">объекта: «Обустройство </w:t>
      </w:r>
      <w:r w:rsidR="007A18E0">
        <w:rPr>
          <w:sz w:val="26"/>
          <w:szCs w:val="26"/>
        </w:rPr>
        <w:t>Верхнесалымского месторождения. Куст скважин № 20</w:t>
      </w:r>
      <w:r w:rsidR="009B5421" w:rsidRPr="009B5421">
        <w:rPr>
          <w:sz w:val="26"/>
          <w:szCs w:val="26"/>
        </w:rPr>
        <w:t>»</w:t>
      </w:r>
      <w:r w:rsidR="009B5421">
        <w:rPr>
          <w:sz w:val="26"/>
          <w:szCs w:val="26"/>
        </w:rPr>
        <w:t xml:space="preserve"> </w:t>
      </w:r>
      <w:r w:rsidR="00826D89" w:rsidRPr="009B5421">
        <w:rPr>
          <w:sz w:val="26"/>
          <w:szCs w:val="26"/>
        </w:rPr>
        <w:t>следующие изменения:</w:t>
      </w:r>
    </w:p>
    <w:p w:rsidR="00B84CA1" w:rsidRDefault="00C8325A" w:rsidP="00922FC3">
      <w:pPr>
        <w:pStyle w:val="a3"/>
        <w:numPr>
          <w:ilvl w:val="1"/>
          <w:numId w:val="1"/>
        </w:numPr>
        <w:tabs>
          <w:tab w:val="left" w:pos="0"/>
          <w:tab w:val="left" w:pos="1134"/>
        </w:tabs>
        <w:ind w:left="0" w:firstLine="698"/>
        <w:jc w:val="both"/>
        <w:rPr>
          <w:color w:val="000000" w:themeColor="text1"/>
          <w:sz w:val="26"/>
          <w:szCs w:val="26"/>
        </w:rPr>
      </w:pPr>
      <w:r>
        <w:rPr>
          <w:color w:val="000000" w:themeColor="text1"/>
          <w:sz w:val="26"/>
          <w:szCs w:val="26"/>
        </w:rPr>
        <w:t>П</w:t>
      </w:r>
      <w:r w:rsidR="00474F8F">
        <w:rPr>
          <w:color w:val="000000" w:themeColor="text1"/>
          <w:sz w:val="26"/>
          <w:szCs w:val="26"/>
        </w:rPr>
        <w:t>одпункт</w:t>
      </w:r>
      <w:r w:rsidR="003249A4">
        <w:rPr>
          <w:color w:val="000000" w:themeColor="text1"/>
          <w:sz w:val="26"/>
          <w:szCs w:val="26"/>
        </w:rPr>
        <w:t xml:space="preserve"> </w:t>
      </w:r>
      <w:r w:rsidR="007A18E0">
        <w:rPr>
          <w:color w:val="000000" w:themeColor="text1"/>
          <w:sz w:val="26"/>
          <w:szCs w:val="26"/>
        </w:rPr>
        <w:t>1.1.</w:t>
      </w:r>
      <w:r>
        <w:rPr>
          <w:color w:val="000000" w:themeColor="text1"/>
          <w:sz w:val="26"/>
          <w:szCs w:val="26"/>
        </w:rPr>
        <w:t>1 пункта 1.1</w:t>
      </w:r>
      <w:r w:rsidR="00474F8F">
        <w:rPr>
          <w:color w:val="000000" w:themeColor="text1"/>
          <w:sz w:val="26"/>
          <w:szCs w:val="26"/>
        </w:rPr>
        <w:t xml:space="preserve"> раздела 1</w:t>
      </w:r>
      <w:r w:rsidR="003249A4">
        <w:rPr>
          <w:color w:val="000000" w:themeColor="text1"/>
          <w:sz w:val="26"/>
          <w:szCs w:val="26"/>
        </w:rPr>
        <w:t xml:space="preserve"> изложить в </w:t>
      </w:r>
      <w:r w:rsidR="004874EB">
        <w:rPr>
          <w:color w:val="000000" w:themeColor="text1"/>
          <w:sz w:val="26"/>
          <w:szCs w:val="26"/>
        </w:rPr>
        <w:t>следующей</w:t>
      </w:r>
      <w:r w:rsidR="003249A4">
        <w:rPr>
          <w:color w:val="000000" w:themeColor="text1"/>
          <w:sz w:val="26"/>
          <w:szCs w:val="26"/>
        </w:rPr>
        <w:t xml:space="preserve"> редакции</w:t>
      </w:r>
      <w:r w:rsidR="00B84CA1">
        <w:rPr>
          <w:color w:val="000000" w:themeColor="text1"/>
          <w:sz w:val="26"/>
          <w:szCs w:val="26"/>
        </w:rPr>
        <w:t>:</w:t>
      </w:r>
    </w:p>
    <w:p w:rsidR="007A18E0" w:rsidRPr="007A18E0" w:rsidRDefault="00E24EB1" w:rsidP="00922FC3">
      <w:pPr>
        <w:tabs>
          <w:tab w:val="left" w:pos="0"/>
          <w:tab w:val="left" w:pos="1418"/>
        </w:tabs>
        <w:ind w:firstLine="142"/>
        <w:jc w:val="both"/>
        <w:rPr>
          <w:b/>
          <w:sz w:val="26"/>
          <w:szCs w:val="26"/>
        </w:rPr>
      </w:pPr>
      <w:r>
        <w:rPr>
          <w:sz w:val="26"/>
          <w:szCs w:val="26"/>
        </w:rPr>
        <w:t xml:space="preserve">       </w:t>
      </w:r>
      <w:r w:rsidR="007A18E0">
        <w:rPr>
          <w:sz w:val="26"/>
          <w:szCs w:val="26"/>
        </w:rPr>
        <w:t>«</w:t>
      </w:r>
      <w:r w:rsidR="00922FC3">
        <w:rPr>
          <w:b/>
          <w:sz w:val="26"/>
          <w:szCs w:val="26"/>
        </w:rPr>
        <w:t xml:space="preserve">1.1.1. </w:t>
      </w:r>
      <w:r w:rsidR="007A18E0" w:rsidRPr="007A18E0">
        <w:rPr>
          <w:b/>
          <w:sz w:val="26"/>
          <w:szCs w:val="26"/>
        </w:rPr>
        <w:t xml:space="preserve">Чертеж красных линий, чертеж границ зон планируемого </w:t>
      </w:r>
      <w:r>
        <w:rPr>
          <w:b/>
          <w:sz w:val="26"/>
          <w:szCs w:val="26"/>
        </w:rPr>
        <w:t xml:space="preserve">       </w:t>
      </w:r>
      <w:r w:rsidR="007A18E0" w:rsidRPr="007A18E0">
        <w:rPr>
          <w:b/>
          <w:sz w:val="26"/>
          <w:szCs w:val="26"/>
        </w:rPr>
        <w:t>размещения линейных объектов</w:t>
      </w:r>
    </w:p>
    <w:p w:rsidR="007A18E0" w:rsidRPr="007A18E0" w:rsidRDefault="007A18E0" w:rsidP="00922FC3">
      <w:pPr>
        <w:tabs>
          <w:tab w:val="left" w:pos="0"/>
          <w:tab w:val="left" w:pos="1418"/>
        </w:tabs>
        <w:jc w:val="center"/>
        <w:rPr>
          <w:b/>
          <w:sz w:val="26"/>
          <w:szCs w:val="26"/>
        </w:rPr>
      </w:pPr>
      <w:r w:rsidRPr="007A18E0">
        <w:rPr>
          <w:b/>
          <w:sz w:val="26"/>
          <w:szCs w:val="26"/>
        </w:rPr>
        <w:t>«Обустройство Верхнесалымского месторождения. Куст скважин №20»</w:t>
      </w:r>
    </w:p>
    <w:p w:rsidR="007A18E0" w:rsidRDefault="007A18E0" w:rsidP="00922FC3">
      <w:pPr>
        <w:tabs>
          <w:tab w:val="left" w:pos="0"/>
          <w:tab w:val="left" w:pos="1418"/>
        </w:tabs>
        <w:jc w:val="both"/>
        <w:rPr>
          <w:b/>
          <w:sz w:val="26"/>
          <w:szCs w:val="26"/>
        </w:rPr>
      </w:pPr>
      <w:r w:rsidRPr="007A18E0">
        <w:rPr>
          <w:b/>
          <w:sz w:val="26"/>
          <w:szCs w:val="26"/>
        </w:rPr>
        <w:t xml:space="preserve">Землепользователь - Компании «Салым Петролеум Девелопмент Н.В.» </w:t>
      </w:r>
    </w:p>
    <w:p w:rsidR="00826D89" w:rsidRPr="007A18E0" w:rsidRDefault="00542141" w:rsidP="00922FC3">
      <w:pPr>
        <w:tabs>
          <w:tab w:val="left" w:pos="0"/>
          <w:tab w:val="left" w:pos="1418"/>
        </w:tabs>
        <w:jc w:val="both"/>
        <w:rPr>
          <w:b/>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3pt;margin-top:13.6pt;width:274.25pt;height:247.85pt;z-index:251658240" filled="t" stroked="t">
            <v:imagedata r:id="rId10" o:title="" croptop="5242f" cropbottom="2621f" cropleft="20641f" cropright="23221f"/>
          </v:shape>
        </w:pict>
      </w:r>
      <w:r w:rsidR="007A18E0" w:rsidRPr="007A18E0">
        <w:rPr>
          <w:b/>
          <w:sz w:val="26"/>
          <w:szCs w:val="26"/>
        </w:rPr>
        <w:t>(Лист 1)</w:t>
      </w: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Pr="007A18E0" w:rsidRDefault="007A18E0" w:rsidP="007A18E0">
      <w:pPr>
        <w:keepNext/>
        <w:jc w:val="center"/>
        <w:outlineLvl w:val="1"/>
        <w:rPr>
          <w:b/>
          <w:bCs/>
          <w:iCs/>
          <w:sz w:val="26"/>
          <w:szCs w:val="26"/>
        </w:rPr>
      </w:pPr>
      <w:bookmarkStart w:id="0" w:name="_Toc507689763"/>
      <w:bookmarkStart w:id="1" w:name="_Toc501352351"/>
      <w:bookmarkStart w:id="2" w:name="_Toc501363826"/>
      <w:r w:rsidRPr="007A18E0">
        <w:rPr>
          <w:b/>
          <w:bCs/>
          <w:iCs/>
          <w:sz w:val="26"/>
          <w:szCs w:val="26"/>
        </w:rPr>
        <w:t>Чертеж красных линий, чертеж границ зон планируемого размещения линейных объектов</w:t>
      </w:r>
      <w:bookmarkEnd w:id="0"/>
    </w:p>
    <w:p w:rsidR="007A18E0" w:rsidRPr="007A18E0" w:rsidRDefault="007A18E0" w:rsidP="007A18E0">
      <w:pPr>
        <w:keepNext/>
        <w:jc w:val="center"/>
        <w:outlineLvl w:val="1"/>
        <w:rPr>
          <w:b/>
          <w:bCs/>
          <w:iCs/>
        </w:rPr>
      </w:pPr>
      <w:bookmarkStart w:id="3" w:name="_Toc505953721"/>
      <w:bookmarkStart w:id="4" w:name="_Toc505953988"/>
      <w:bookmarkStart w:id="5" w:name="_Toc506544187"/>
      <w:bookmarkStart w:id="6" w:name="_Toc507589792"/>
      <w:bookmarkStart w:id="7" w:name="_Toc507689764"/>
      <w:bookmarkStart w:id="8" w:name="_Toc505088981"/>
      <w:r w:rsidRPr="007A18E0">
        <w:rPr>
          <w:b/>
          <w:bCs/>
          <w:iCs/>
        </w:rPr>
        <w:t>«</w:t>
      </w:r>
      <w:r w:rsidRPr="007A18E0">
        <w:rPr>
          <w:b/>
          <w:bCs/>
          <w:iCs/>
          <w:color w:val="000000"/>
          <w:shd w:val="clear" w:color="auto" w:fill="FFFFFF"/>
        </w:rPr>
        <w:t>Обустройство Верхнесалымского месторождения. Куст скважин №20</w:t>
      </w:r>
      <w:r w:rsidRPr="007A18E0">
        <w:rPr>
          <w:b/>
          <w:bCs/>
          <w:iCs/>
        </w:rPr>
        <w:t>»</w:t>
      </w:r>
      <w:bookmarkEnd w:id="3"/>
      <w:bookmarkEnd w:id="4"/>
      <w:bookmarkEnd w:id="5"/>
      <w:bookmarkEnd w:id="6"/>
      <w:bookmarkEnd w:id="7"/>
    </w:p>
    <w:p w:rsidR="007A18E0" w:rsidRPr="007A18E0" w:rsidRDefault="007A18E0" w:rsidP="007A18E0">
      <w:pPr>
        <w:keepNext/>
        <w:jc w:val="center"/>
        <w:outlineLvl w:val="1"/>
        <w:rPr>
          <w:b/>
          <w:bCs/>
          <w:iCs/>
          <w:sz w:val="26"/>
          <w:szCs w:val="26"/>
        </w:rPr>
      </w:pPr>
      <w:bookmarkStart w:id="9" w:name="_Toc505953722"/>
      <w:bookmarkStart w:id="10" w:name="_Toc505953989"/>
      <w:bookmarkStart w:id="11" w:name="_Toc506544188"/>
      <w:bookmarkStart w:id="12" w:name="_Toc507589793"/>
      <w:bookmarkStart w:id="13" w:name="_Toc507689765"/>
      <w:r w:rsidRPr="007A18E0">
        <w:rPr>
          <w:b/>
          <w:bCs/>
          <w:iCs/>
        </w:rPr>
        <w:t>Землепользователь - Компании «Салым Петролеум Девелопмент Н.В.»</w:t>
      </w:r>
      <w:bookmarkEnd w:id="1"/>
      <w:bookmarkEnd w:id="2"/>
      <w:bookmarkEnd w:id="8"/>
      <w:bookmarkEnd w:id="9"/>
      <w:bookmarkEnd w:id="10"/>
      <w:bookmarkEnd w:id="11"/>
      <w:bookmarkEnd w:id="12"/>
      <w:r w:rsidRPr="007A18E0">
        <w:rPr>
          <w:b/>
          <w:bCs/>
          <w:iCs/>
        </w:rPr>
        <w:t xml:space="preserve"> (Лист 2)</w:t>
      </w:r>
      <w:bookmarkEnd w:id="13"/>
    </w:p>
    <w:p w:rsidR="007A18E0" w:rsidRDefault="007A18E0" w:rsidP="007A18E0">
      <w:pPr>
        <w:tabs>
          <w:tab w:val="left" w:pos="0"/>
        </w:tabs>
        <w:jc w:val="both"/>
        <w:rPr>
          <w:sz w:val="26"/>
          <w:szCs w:val="26"/>
        </w:rPr>
      </w:pPr>
      <w:r>
        <w:rPr>
          <w:noProof/>
          <w:sz w:val="26"/>
          <w:szCs w:val="26"/>
        </w:rPr>
        <w:drawing>
          <wp:anchor distT="0" distB="0" distL="114300" distR="114300" simplePos="0" relativeHeight="251659264" behindDoc="0" locked="0" layoutInCell="1" allowOverlap="1" wp14:anchorId="1004C4D1" wp14:editId="21FF4A30">
            <wp:simplePos x="0" y="0"/>
            <wp:positionH relativeFrom="margin">
              <wp:posOffset>1785620</wp:posOffset>
            </wp:positionH>
            <wp:positionV relativeFrom="paragraph">
              <wp:posOffset>154940</wp:posOffset>
            </wp:positionV>
            <wp:extent cx="1951355" cy="34397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355"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7A18E0" w:rsidRDefault="007A18E0" w:rsidP="007A18E0">
      <w:pPr>
        <w:tabs>
          <w:tab w:val="left" w:pos="0"/>
        </w:tabs>
        <w:jc w:val="both"/>
        <w:rPr>
          <w:sz w:val="26"/>
          <w:szCs w:val="26"/>
        </w:rPr>
      </w:pPr>
    </w:p>
    <w:p w:rsidR="004818D1" w:rsidRDefault="004818D1" w:rsidP="007A18E0">
      <w:pPr>
        <w:tabs>
          <w:tab w:val="left" w:pos="0"/>
        </w:tabs>
        <w:jc w:val="both"/>
        <w:rPr>
          <w:sz w:val="26"/>
          <w:szCs w:val="26"/>
        </w:rPr>
      </w:pPr>
    </w:p>
    <w:p w:rsidR="004818D1" w:rsidRDefault="004818D1" w:rsidP="007A18E0">
      <w:pPr>
        <w:tabs>
          <w:tab w:val="left" w:pos="0"/>
        </w:tabs>
        <w:jc w:val="both"/>
        <w:rPr>
          <w:sz w:val="26"/>
          <w:szCs w:val="26"/>
        </w:rPr>
      </w:pPr>
    </w:p>
    <w:p w:rsidR="004818D1" w:rsidRDefault="004818D1" w:rsidP="004818D1">
      <w:pPr>
        <w:tabs>
          <w:tab w:val="left" w:pos="0"/>
        </w:tabs>
        <w:jc w:val="center"/>
        <w:rPr>
          <w:sz w:val="26"/>
          <w:szCs w:val="26"/>
        </w:rPr>
      </w:pPr>
    </w:p>
    <w:p w:rsidR="004818D1" w:rsidRDefault="00C34509" w:rsidP="00C34509">
      <w:pPr>
        <w:tabs>
          <w:tab w:val="left" w:pos="0"/>
        </w:tabs>
        <w:jc w:val="center"/>
        <w:rPr>
          <w:sz w:val="26"/>
          <w:szCs w:val="26"/>
        </w:rPr>
      </w:pPr>
      <w:r>
        <w:rPr>
          <w:noProof/>
        </w:rPr>
        <w:drawing>
          <wp:inline distT="0" distB="0" distL="0" distR="0" wp14:anchorId="578D7632" wp14:editId="2E79F87E">
            <wp:extent cx="3676650" cy="3790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76650" cy="3790950"/>
                    </a:xfrm>
                    <a:prstGeom prst="rect">
                      <a:avLst/>
                    </a:prstGeom>
                  </pic:spPr>
                </pic:pic>
              </a:graphicData>
            </a:graphic>
          </wp:inline>
        </w:drawing>
      </w:r>
    </w:p>
    <w:p w:rsidR="007A18E0" w:rsidRDefault="007A18E0" w:rsidP="007A18E0">
      <w:pPr>
        <w:tabs>
          <w:tab w:val="left" w:pos="0"/>
        </w:tabs>
        <w:jc w:val="both"/>
        <w:rPr>
          <w:sz w:val="26"/>
          <w:szCs w:val="26"/>
        </w:rPr>
      </w:pPr>
    </w:p>
    <w:p w:rsidR="007A18E0" w:rsidRPr="00B84CA1" w:rsidRDefault="007A18E0" w:rsidP="007A18E0">
      <w:pPr>
        <w:tabs>
          <w:tab w:val="left" w:pos="0"/>
        </w:tabs>
        <w:jc w:val="both"/>
        <w:rPr>
          <w:sz w:val="26"/>
          <w:szCs w:val="26"/>
        </w:rPr>
      </w:pPr>
    </w:p>
    <w:p w:rsidR="00A632DD" w:rsidRPr="004818D1" w:rsidRDefault="00C8325A" w:rsidP="004818D1">
      <w:pPr>
        <w:pStyle w:val="a3"/>
        <w:numPr>
          <w:ilvl w:val="1"/>
          <w:numId w:val="1"/>
        </w:numPr>
        <w:tabs>
          <w:tab w:val="left" w:pos="0"/>
        </w:tabs>
        <w:jc w:val="both"/>
        <w:rPr>
          <w:color w:val="000000" w:themeColor="text1"/>
          <w:sz w:val="26"/>
          <w:szCs w:val="26"/>
        </w:rPr>
      </w:pPr>
      <w:r>
        <w:rPr>
          <w:sz w:val="26"/>
          <w:szCs w:val="26"/>
        </w:rPr>
        <w:t>П</w:t>
      </w:r>
      <w:r w:rsidR="00474F8F">
        <w:rPr>
          <w:sz w:val="26"/>
          <w:szCs w:val="26"/>
        </w:rPr>
        <w:t xml:space="preserve">одпункт </w:t>
      </w:r>
      <w:r w:rsidR="004874EB">
        <w:rPr>
          <w:sz w:val="26"/>
          <w:szCs w:val="26"/>
        </w:rPr>
        <w:t>2.</w:t>
      </w:r>
      <w:r w:rsidR="004818D1">
        <w:rPr>
          <w:sz w:val="26"/>
          <w:szCs w:val="26"/>
        </w:rPr>
        <w:t xml:space="preserve">1 </w:t>
      </w:r>
      <w:r w:rsidR="00474F8F">
        <w:rPr>
          <w:sz w:val="26"/>
          <w:szCs w:val="26"/>
        </w:rPr>
        <w:t xml:space="preserve">раздела 2 </w:t>
      </w:r>
      <w:r w:rsidR="00A632DD" w:rsidRPr="004818D1">
        <w:rPr>
          <w:color w:val="000000" w:themeColor="text1"/>
          <w:sz w:val="26"/>
          <w:szCs w:val="26"/>
        </w:rPr>
        <w:t xml:space="preserve">изложить в </w:t>
      </w:r>
      <w:r w:rsidR="004874EB" w:rsidRPr="004818D1">
        <w:rPr>
          <w:color w:val="000000" w:themeColor="text1"/>
          <w:sz w:val="26"/>
          <w:szCs w:val="26"/>
        </w:rPr>
        <w:t xml:space="preserve">следующей </w:t>
      </w:r>
      <w:r w:rsidR="00A632DD" w:rsidRPr="004818D1">
        <w:rPr>
          <w:color w:val="000000" w:themeColor="text1"/>
          <w:sz w:val="26"/>
          <w:szCs w:val="26"/>
        </w:rPr>
        <w:t>редакции:</w:t>
      </w:r>
    </w:p>
    <w:p w:rsidR="004818D1" w:rsidRPr="004818D1" w:rsidRDefault="00C8325A" w:rsidP="00C8325A">
      <w:pPr>
        <w:pStyle w:val="2"/>
        <w:spacing w:before="0"/>
        <w:ind w:firstLine="284"/>
        <w:jc w:val="both"/>
        <w:rPr>
          <w:rFonts w:ascii="Times New Roman" w:eastAsia="Times New Roman" w:hAnsi="Times New Roman" w:cs="Times New Roman"/>
          <w:iCs/>
          <w:color w:val="auto"/>
        </w:rPr>
      </w:pPr>
      <w:bookmarkStart w:id="14" w:name="_Toc470795425"/>
      <w:bookmarkStart w:id="15" w:name="_Toc493684901"/>
      <w:bookmarkStart w:id="16" w:name="_Toc503537993"/>
      <w:r>
        <w:rPr>
          <w:rFonts w:ascii="Times New Roman" w:hAnsi="Times New Roman" w:cs="Times New Roman"/>
          <w:color w:val="000000" w:themeColor="text1"/>
        </w:rPr>
        <w:t xml:space="preserve">     </w:t>
      </w:r>
      <w:r w:rsidR="004874EB" w:rsidRPr="004818D1">
        <w:rPr>
          <w:rFonts w:ascii="Times New Roman" w:hAnsi="Times New Roman" w:cs="Times New Roman"/>
          <w:color w:val="000000" w:themeColor="text1"/>
        </w:rPr>
        <w:t>«</w:t>
      </w:r>
      <w:bookmarkStart w:id="17" w:name="_Toc494804404"/>
      <w:bookmarkStart w:id="18" w:name="_Toc507689767"/>
      <w:r w:rsidR="004818D1" w:rsidRPr="004818D1">
        <w:rPr>
          <w:rFonts w:ascii="Times New Roman" w:eastAsia="Times New Roman" w:hAnsi="Times New Roman" w:cs="Times New Roman"/>
          <w:iCs/>
          <w:color w:val="000000" w:themeColor="text1"/>
        </w:rPr>
        <w:t>2.</w:t>
      </w:r>
      <w:r w:rsidR="004818D1" w:rsidRPr="004818D1">
        <w:rPr>
          <w:rFonts w:ascii="Times New Roman" w:eastAsia="Times New Roman" w:hAnsi="Times New Roman" w:cs="Times New Roman"/>
          <w:iCs/>
          <w:color w:val="auto"/>
        </w:rPr>
        <w:t xml:space="preserve">1. </w:t>
      </w:r>
      <w:bookmarkEnd w:id="17"/>
      <w:r w:rsidR="004818D1" w:rsidRPr="004818D1">
        <w:rPr>
          <w:rFonts w:ascii="Times New Roman" w:eastAsia="Times New Roman" w:hAnsi="Times New Roman" w:cs="Times New Roman"/>
          <w:iCs/>
          <w:color w:val="auto"/>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линейных объектов</w:t>
      </w:r>
      <w:bookmarkEnd w:id="18"/>
    </w:p>
    <w:p w:rsidR="004818D1" w:rsidRPr="004818D1" w:rsidRDefault="004818D1" w:rsidP="004818D1">
      <w:pPr>
        <w:autoSpaceDE w:val="0"/>
        <w:autoSpaceDN w:val="0"/>
        <w:adjustRightInd w:val="0"/>
        <w:ind w:firstLine="709"/>
        <w:rPr>
          <w:sz w:val="26"/>
          <w:szCs w:val="26"/>
        </w:rPr>
      </w:pPr>
      <w:r w:rsidRPr="004818D1">
        <w:rPr>
          <w:sz w:val="26"/>
          <w:szCs w:val="26"/>
        </w:rPr>
        <w:t>Проектом предусматриваются следующие объекты строительства:</w:t>
      </w:r>
    </w:p>
    <w:p w:rsidR="004818D1" w:rsidRPr="004818D1" w:rsidRDefault="004818D1" w:rsidP="004818D1">
      <w:pPr>
        <w:autoSpaceDE w:val="0"/>
        <w:autoSpaceDN w:val="0"/>
        <w:adjustRightInd w:val="0"/>
        <w:ind w:firstLine="709"/>
        <w:jc w:val="both"/>
        <w:rPr>
          <w:b/>
          <w:color w:val="000000"/>
          <w:sz w:val="26"/>
          <w:szCs w:val="26"/>
        </w:rPr>
      </w:pPr>
      <w:r w:rsidRPr="004818D1">
        <w:rPr>
          <w:b/>
          <w:bCs/>
          <w:color w:val="000000"/>
          <w:sz w:val="26"/>
          <w:szCs w:val="26"/>
        </w:rPr>
        <w:t xml:space="preserve">- Куст скважин №20; </w:t>
      </w:r>
    </w:p>
    <w:p w:rsidR="004818D1" w:rsidRPr="004818D1" w:rsidRDefault="004818D1" w:rsidP="004818D1">
      <w:pPr>
        <w:autoSpaceDE w:val="0"/>
        <w:autoSpaceDN w:val="0"/>
        <w:adjustRightInd w:val="0"/>
        <w:ind w:firstLine="709"/>
        <w:jc w:val="both"/>
        <w:rPr>
          <w:sz w:val="26"/>
          <w:szCs w:val="26"/>
          <w:highlight w:val="yellow"/>
        </w:rPr>
      </w:pPr>
      <w:r w:rsidRPr="004818D1">
        <w:rPr>
          <w:sz w:val="26"/>
          <w:szCs w:val="26"/>
        </w:rPr>
        <w:t>Общая пропускная способность системы – 3229 м3/сутки (по добываемой жидкости). Фонд скважин, всего - 24 шт. в том числе: добывающих – 11 скважин, нагнетательных – 11 скважин, в первоначальный период отрабатываются на нефть, водозаборных – 2 скважины.</w:t>
      </w:r>
    </w:p>
    <w:p w:rsidR="004818D1" w:rsidRPr="004818D1" w:rsidRDefault="004818D1" w:rsidP="004818D1">
      <w:pPr>
        <w:autoSpaceDE w:val="0"/>
        <w:autoSpaceDN w:val="0"/>
        <w:adjustRightInd w:val="0"/>
        <w:ind w:firstLine="709"/>
        <w:rPr>
          <w:b/>
          <w:sz w:val="26"/>
          <w:szCs w:val="26"/>
        </w:rPr>
      </w:pPr>
      <w:r w:rsidRPr="004818D1">
        <w:rPr>
          <w:b/>
          <w:sz w:val="26"/>
          <w:szCs w:val="26"/>
        </w:rPr>
        <w:t>- Подъезд от узла Ш40 к кусту скважин №20;</w:t>
      </w:r>
    </w:p>
    <w:p w:rsidR="004818D1" w:rsidRPr="004818D1" w:rsidRDefault="004818D1" w:rsidP="004818D1">
      <w:pPr>
        <w:autoSpaceDE w:val="0"/>
        <w:autoSpaceDN w:val="0"/>
        <w:adjustRightInd w:val="0"/>
        <w:ind w:firstLine="709"/>
        <w:rPr>
          <w:b/>
          <w:sz w:val="26"/>
          <w:szCs w:val="26"/>
        </w:rPr>
      </w:pPr>
      <w:r w:rsidRPr="004818D1">
        <w:rPr>
          <w:b/>
          <w:sz w:val="26"/>
          <w:szCs w:val="26"/>
        </w:rPr>
        <w:t>- ВЛ 35 кВ на куст скважин №20;</w:t>
      </w:r>
    </w:p>
    <w:p w:rsidR="004818D1" w:rsidRPr="004818D1" w:rsidRDefault="004818D1" w:rsidP="004818D1">
      <w:pPr>
        <w:autoSpaceDE w:val="0"/>
        <w:autoSpaceDN w:val="0"/>
        <w:adjustRightInd w:val="0"/>
        <w:ind w:firstLine="709"/>
        <w:rPr>
          <w:b/>
          <w:sz w:val="26"/>
          <w:szCs w:val="26"/>
        </w:rPr>
      </w:pPr>
      <w:r w:rsidRPr="004818D1">
        <w:rPr>
          <w:b/>
          <w:sz w:val="26"/>
          <w:szCs w:val="26"/>
        </w:rPr>
        <w:t>- Нефтегазосборный трубопровод. Участок Куст скважин №20 – Ш40;</w:t>
      </w:r>
    </w:p>
    <w:p w:rsidR="004818D1" w:rsidRPr="004818D1" w:rsidRDefault="004818D1" w:rsidP="004818D1">
      <w:pPr>
        <w:autoSpaceDE w:val="0"/>
        <w:autoSpaceDN w:val="0"/>
        <w:adjustRightInd w:val="0"/>
        <w:ind w:firstLine="709"/>
        <w:rPr>
          <w:sz w:val="26"/>
          <w:szCs w:val="26"/>
        </w:rPr>
      </w:pPr>
      <w:r w:rsidRPr="004818D1">
        <w:rPr>
          <w:b/>
          <w:sz w:val="26"/>
          <w:szCs w:val="26"/>
        </w:rPr>
        <w:t>- Высоконапорный водовод. Участок УН 108в – Куст скважин №20</w:t>
      </w:r>
      <w:r w:rsidRPr="004818D1">
        <w:rPr>
          <w:sz w:val="26"/>
          <w:szCs w:val="26"/>
        </w:rPr>
        <w:t>.</w:t>
      </w:r>
    </w:p>
    <w:p w:rsidR="004818D1" w:rsidRPr="004818D1" w:rsidRDefault="004818D1" w:rsidP="004818D1">
      <w:pPr>
        <w:autoSpaceDE w:val="0"/>
        <w:autoSpaceDN w:val="0"/>
        <w:adjustRightInd w:val="0"/>
        <w:ind w:firstLine="709"/>
        <w:jc w:val="both"/>
        <w:rPr>
          <w:sz w:val="26"/>
          <w:szCs w:val="26"/>
        </w:rPr>
      </w:pPr>
      <w:r w:rsidRPr="004818D1">
        <w:rPr>
          <w:bCs/>
          <w:sz w:val="26"/>
          <w:szCs w:val="26"/>
        </w:rPr>
        <w:t>Подъезд</w:t>
      </w:r>
      <w:r w:rsidRPr="004818D1">
        <w:rPr>
          <w:b/>
          <w:bCs/>
          <w:sz w:val="26"/>
          <w:szCs w:val="26"/>
        </w:rPr>
        <w:t xml:space="preserve"> </w:t>
      </w:r>
      <w:r w:rsidRPr="004818D1">
        <w:rPr>
          <w:sz w:val="26"/>
          <w:szCs w:val="26"/>
        </w:rPr>
        <w:t xml:space="preserve">от узла Ш40 к кусту скважин №20 запроектирован от пересечения четырех дорог. ПК0+00 проектируемого подъезда соответствует оси автодороги </w:t>
      </w:r>
      <w:r w:rsidR="00922FC3">
        <w:rPr>
          <w:sz w:val="26"/>
          <w:szCs w:val="26"/>
        </w:rPr>
        <w:br/>
      </w:r>
      <w:r w:rsidRPr="004818D1">
        <w:rPr>
          <w:sz w:val="26"/>
          <w:szCs w:val="26"/>
        </w:rPr>
        <w:t xml:space="preserve">на куст 19 проектируемой ВСМ ООО "ТЭКПРО". Слева к данному узлу примыкает подъезд от карьера Самсоновский-2 к узлу Ш40 с примыканием. Справа к данному узлу примыкает автодорога к узлу Ш40 Верхнесалымского месторождения </w:t>
      </w:r>
      <w:r w:rsidR="00E12C94">
        <w:rPr>
          <w:sz w:val="26"/>
          <w:szCs w:val="26"/>
        </w:rPr>
        <w:br/>
      </w:r>
      <w:r w:rsidRPr="004818D1">
        <w:rPr>
          <w:sz w:val="26"/>
          <w:szCs w:val="26"/>
        </w:rPr>
        <w:t>с примыканием в районе Ш40, проектируемая ООО "ЮНГП". Атодорога обеспечивает круглогодичный подъезд транспорта в целях эксплуатации куста скважин, а также проведение регламентных и ремонтных работ. Предполагается проезд одиночных автомобилей, для обслуживания и ремонта технологического оборудования на площадке куста.</w:t>
      </w:r>
    </w:p>
    <w:p w:rsidR="004818D1" w:rsidRPr="004818D1" w:rsidRDefault="004818D1" w:rsidP="004818D1">
      <w:pPr>
        <w:autoSpaceDE w:val="0"/>
        <w:autoSpaceDN w:val="0"/>
        <w:adjustRightInd w:val="0"/>
        <w:ind w:firstLine="709"/>
        <w:jc w:val="both"/>
        <w:rPr>
          <w:sz w:val="26"/>
          <w:szCs w:val="26"/>
        </w:rPr>
      </w:pPr>
      <w:r w:rsidRPr="004818D1">
        <w:rPr>
          <w:sz w:val="26"/>
          <w:szCs w:val="26"/>
        </w:rPr>
        <w:t xml:space="preserve">Автодорога проложена в одном коридоре с инженерными коммуникациями, </w:t>
      </w:r>
      <w:r w:rsidR="00922FC3">
        <w:rPr>
          <w:sz w:val="26"/>
          <w:szCs w:val="26"/>
        </w:rPr>
        <w:br/>
      </w:r>
      <w:r w:rsidRPr="004818D1">
        <w:rPr>
          <w:sz w:val="26"/>
          <w:szCs w:val="26"/>
        </w:rPr>
        <w:t xml:space="preserve">с соблюдением нормативных расстояний между ними в соответствии </w:t>
      </w:r>
      <w:r w:rsidR="00E12C94">
        <w:rPr>
          <w:sz w:val="26"/>
          <w:szCs w:val="26"/>
        </w:rPr>
        <w:br/>
      </w:r>
      <w:r w:rsidRPr="004818D1">
        <w:rPr>
          <w:sz w:val="26"/>
          <w:szCs w:val="26"/>
        </w:rPr>
        <w:t xml:space="preserve">с СП 3413330.2112, СП 34-116-97 и ПУЭ, Раздел 2, 7-е изд. Категория автодороги определена, исходя из назначения дороги, с учетом грузооборота и интенсивности движения. Подъезд к кусту скважин №20 принят IV-в категории согласно задания </w:t>
      </w:r>
      <w:r w:rsidR="00922FC3">
        <w:rPr>
          <w:sz w:val="26"/>
          <w:szCs w:val="26"/>
        </w:rPr>
        <w:br/>
      </w:r>
      <w:r w:rsidRPr="004818D1">
        <w:rPr>
          <w:sz w:val="26"/>
          <w:szCs w:val="26"/>
        </w:rPr>
        <w:t xml:space="preserve">на проектирование и по СП 37.13330.2012 (по месту расположения на предприятии является внутриплощадочной дорогой, по назначению – вспомогательной, </w:t>
      </w:r>
      <w:r w:rsidR="00E12C94">
        <w:rPr>
          <w:sz w:val="26"/>
          <w:szCs w:val="26"/>
        </w:rPr>
        <w:br/>
      </w:r>
      <w:r w:rsidRPr="004818D1">
        <w:rPr>
          <w:sz w:val="26"/>
          <w:szCs w:val="26"/>
        </w:rPr>
        <w:t>по срокам использования – постоянной). Протяженность автодороги 261 м. Проектируемая автодорога на всей протяженности проходит по болоту I типа согласно классификации ВСН 26-90 глубиной от 3,1 до 3,7 м. В отношении распределенной по трассе растительности, трасса автодороги на всей протяженности проходит по лесу мелкому густому (береза, сосна, кедр h=14 м, d=0,20 м, расстояние между деревьями 4 м).</w:t>
      </w:r>
    </w:p>
    <w:p w:rsidR="004818D1" w:rsidRPr="004818D1" w:rsidRDefault="004818D1" w:rsidP="004818D1">
      <w:pPr>
        <w:autoSpaceDE w:val="0"/>
        <w:autoSpaceDN w:val="0"/>
        <w:adjustRightInd w:val="0"/>
        <w:ind w:firstLine="709"/>
        <w:jc w:val="both"/>
        <w:rPr>
          <w:sz w:val="26"/>
          <w:szCs w:val="26"/>
        </w:rPr>
      </w:pPr>
      <w:r w:rsidRPr="004818D1">
        <w:rPr>
          <w:sz w:val="26"/>
          <w:szCs w:val="26"/>
        </w:rPr>
        <w:t xml:space="preserve">Трасса автодороги имеет 1 угол поворота. Преобладающее направление трассы юго-западное. Отметки по трассе меняются в пределах 53,65 – 53,96 м БС. Проектируемая автодорога пересекает проектируемую трассу нефтепровода </w:t>
      </w:r>
      <w:r w:rsidR="00922FC3">
        <w:rPr>
          <w:sz w:val="26"/>
          <w:szCs w:val="26"/>
        </w:rPr>
        <w:br/>
      </w:r>
      <w:r w:rsidRPr="004818D1">
        <w:rPr>
          <w:sz w:val="26"/>
          <w:szCs w:val="26"/>
        </w:rPr>
        <w:t>на ПК1+67 и проектируемую трассу водовода на ПК1+79. Проектируемая автодорога на всей протяженности проходит в насыпи. Максимальная высота насыпи - 2,50 м, минимальная высота насыпи – 2,08 м. Расчетная скорость движения принята 20 км/ч.</w:t>
      </w:r>
    </w:p>
    <w:p w:rsidR="004818D1" w:rsidRPr="004818D1" w:rsidRDefault="004818D1" w:rsidP="004818D1">
      <w:pPr>
        <w:autoSpaceDE w:val="0"/>
        <w:autoSpaceDN w:val="0"/>
        <w:adjustRightInd w:val="0"/>
        <w:ind w:firstLine="709"/>
        <w:jc w:val="both"/>
        <w:rPr>
          <w:sz w:val="26"/>
          <w:szCs w:val="26"/>
        </w:rPr>
      </w:pPr>
      <w:r w:rsidRPr="004818D1">
        <w:rPr>
          <w:sz w:val="26"/>
          <w:szCs w:val="26"/>
        </w:rPr>
        <w:t xml:space="preserve">Ширина полосы долгосрочного отвода, по проектируемой автодороге, рассчитана с учетом земельных участков, предназначенных, для обеспечения условий производства работ по содержанию автомобильных дорог в соответствии </w:t>
      </w:r>
      <w:r w:rsidR="00E12C94">
        <w:rPr>
          <w:sz w:val="26"/>
          <w:szCs w:val="26"/>
        </w:rPr>
        <w:br/>
      </w:r>
      <w:r w:rsidRPr="004818D1">
        <w:rPr>
          <w:sz w:val="26"/>
          <w:szCs w:val="26"/>
        </w:rPr>
        <w:t xml:space="preserve">с Постановлением Правительства РФ от 2 сентября 2009 г. № 717. Ширина полосы краткосрочного отвода, с учетом земельных участков, предназначенных </w:t>
      </w:r>
      <w:r w:rsidR="00E12C94">
        <w:rPr>
          <w:sz w:val="26"/>
          <w:szCs w:val="26"/>
        </w:rPr>
        <w:br/>
      </w:r>
      <w:r w:rsidRPr="004818D1">
        <w:rPr>
          <w:sz w:val="26"/>
          <w:szCs w:val="26"/>
        </w:rPr>
        <w:t>для обеспечения условий производства работ по содержанию автомобильных дорог, принята по 3 метра с каждой стороны от границы долгосрочного отвода.</w:t>
      </w:r>
    </w:p>
    <w:p w:rsidR="004818D1" w:rsidRPr="004818D1" w:rsidRDefault="004818D1" w:rsidP="004818D1">
      <w:pPr>
        <w:autoSpaceDE w:val="0"/>
        <w:autoSpaceDN w:val="0"/>
        <w:adjustRightInd w:val="0"/>
        <w:ind w:firstLine="709"/>
        <w:jc w:val="both"/>
        <w:rPr>
          <w:sz w:val="26"/>
          <w:szCs w:val="26"/>
        </w:rPr>
      </w:pPr>
      <w:r w:rsidRPr="004818D1">
        <w:rPr>
          <w:sz w:val="26"/>
          <w:szCs w:val="26"/>
        </w:rPr>
        <w:t>Проектируемая автодорога не пересекает водных преград, находится вневодоохранных зон и прибрежных защитных полос прилегающих объектов.</w:t>
      </w:r>
    </w:p>
    <w:p w:rsidR="004818D1" w:rsidRPr="004818D1" w:rsidRDefault="004818D1" w:rsidP="004818D1">
      <w:pPr>
        <w:autoSpaceDE w:val="0"/>
        <w:autoSpaceDN w:val="0"/>
        <w:adjustRightInd w:val="0"/>
        <w:ind w:firstLine="709"/>
        <w:jc w:val="both"/>
        <w:rPr>
          <w:sz w:val="26"/>
          <w:szCs w:val="26"/>
        </w:rPr>
      </w:pPr>
      <w:r w:rsidRPr="004818D1">
        <w:rPr>
          <w:sz w:val="26"/>
          <w:szCs w:val="26"/>
        </w:rPr>
        <w:t>Искусственные сооружения, предусмотренные на проект</w:t>
      </w:r>
      <w:r w:rsidR="00922FC3">
        <w:rPr>
          <w:sz w:val="26"/>
          <w:szCs w:val="26"/>
        </w:rPr>
        <w:t xml:space="preserve">ируемой автодороге представлены </w:t>
      </w:r>
      <w:r w:rsidRPr="004818D1">
        <w:rPr>
          <w:sz w:val="26"/>
          <w:szCs w:val="26"/>
        </w:rPr>
        <w:t>одной водопропускной металлической гладкостенной трубой диаметром 1,42 м общей длиной 19,3 м.</w:t>
      </w:r>
    </w:p>
    <w:p w:rsidR="004818D1" w:rsidRPr="004818D1" w:rsidRDefault="004818D1" w:rsidP="004818D1">
      <w:pPr>
        <w:autoSpaceDE w:val="0"/>
        <w:autoSpaceDN w:val="0"/>
        <w:adjustRightInd w:val="0"/>
        <w:ind w:firstLine="709"/>
        <w:jc w:val="both"/>
        <w:rPr>
          <w:sz w:val="26"/>
          <w:szCs w:val="26"/>
        </w:rPr>
      </w:pPr>
      <w:r w:rsidRPr="004818D1">
        <w:rPr>
          <w:sz w:val="26"/>
          <w:szCs w:val="26"/>
        </w:rPr>
        <w:t>Испрашиваемая площадь земельных участков под запроектированные объекты включает только фактически испрашиваемую площадь участков. Ведомость расчета площадей земельных участков приведена в таблице 2.1 данного раздела. Фактически испрашиваемую площадь составляют земельные участки, расположенные на вновь отведенной территории. Договоры аренды находятся</w:t>
      </w:r>
      <w:r w:rsidR="00922FC3">
        <w:rPr>
          <w:sz w:val="26"/>
          <w:szCs w:val="26"/>
        </w:rPr>
        <w:t xml:space="preserve"> </w:t>
      </w:r>
      <w:r w:rsidRPr="004818D1">
        <w:rPr>
          <w:sz w:val="26"/>
          <w:szCs w:val="26"/>
        </w:rPr>
        <w:t>в процессе оформления.</w:t>
      </w:r>
    </w:p>
    <w:p w:rsidR="004818D1" w:rsidRPr="004818D1" w:rsidRDefault="004818D1" w:rsidP="00922FC3">
      <w:pPr>
        <w:autoSpaceDE w:val="0"/>
        <w:autoSpaceDN w:val="0"/>
        <w:adjustRightInd w:val="0"/>
        <w:ind w:firstLine="709"/>
        <w:jc w:val="both"/>
        <w:rPr>
          <w:sz w:val="26"/>
          <w:szCs w:val="26"/>
        </w:rPr>
      </w:pPr>
      <w:r w:rsidRPr="004818D1">
        <w:rPr>
          <w:sz w:val="26"/>
          <w:szCs w:val="26"/>
        </w:rPr>
        <w:t>Проектом предусмотрена двухцепная воздушная линия (ВЛ) 35 кВ на куст</w:t>
      </w:r>
      <w:r w:rsidR="00922FC3">
        <w:rPr>
          <w:sz w:val="26"/>
          <w:szCs w:val="26"/>
        </w:rPr>
        <w:t xml:space="preserve"> </w:t>
      </w:r>
      <w:r w:rsidRPr="004818D1">
        <w:rPr>
          <w:sz w:val="26"/>
          <w:szCs w:val="26"/>
        </w:rPr>
        <w:t xml:space="preserve">скважин №20. Электроснабжение проектируемого куста скважин №20 выполняется по ВЛ 35 кВ ответвлением от существующей ВЛ 35кВ ф. «Промысловая-1,2». Подключение предусматривается к анкерной опоре №31 в районе узла 40. ВЛ 35кВ проектируется на стальных опорах, разработанных в типовой серии № 3.407-2-170 «Унифицированные стальные конструкции промежуточных и анкерно-угловых опор ВЛ 35-110 кВ для нормальных условий». Заход ВЛ 35 кВ на ПС 35/6 кВ выполняется через однопролетный портал принятый по серии 3.407.2-162, вып. 2 «Унифицированные стальные порталы открытых распределительных устройств </w:t>
      </w:r>
      <w:r w:rsidR="00E12C94">
        <w:rPr>
          <w:sz w:val="26"/>
          <w:szCs w:val="26"/>
        </w:rPr>
        <w:br/>
      </w:r>
      <w:r w:rsidRPr="004818D1">
        <w:rPr>
          <w:sz w:val="26"/>
          <w:szCs w:val="26"/>
        </w:rPr>
        <w:t>35-150 кВ для обычных и северных районов».</w:t>
      </w:r>
    </w:p>
    <w:p w:rsidR="004818D1" w:rsidRPr="004818D1" w:rsidRDefault="004818D1" w:rsidP="004818D1">
      <w:pPr>
        <w:autoSpaceDE w:val="0"/>
        <w:autoSpaceDN w:val="0"/>
        <w:adjustRightInd w:val="0"/>
        <w:ind w:firstLine="709"/>
        <w:jc w:val="both"/>
        <w:rPr>
          <w:sz w:val="26"/>
          <w:szCs w:val="26"/>
        </w:rPr>
      </w:pPr>
      <w:r w:rsidRPr="004818D1">
        <w:rPr>
          <w:sz w:val="26"/>
          <w:szCs w:val="26"/>
        </w:rPr>
        <w:t>Проектом приняты следующие типы опор:</w:t>
      </w:r>
    </w:p>
    <w:p w:rsidR="004818D1" w:rsidRPr="004818D1" w:rsidRDefault="004818D1" w:rsidP="004818D1">
      <w:pPr>
        <w:shd w:val="clear" w:color="auto" w:fill="FFFFFF"/>
        <w:ind w:firstLine="709"/>
        <w:rPr>
          <w:color w:val="000000"/>
          <w:sz w:val="26"/>
          <w:szCs w:val="26"/>
        </w:rPr>
      </w:pPr>
      <w:r w:rsidRPr="004818D1">
        <w:rPr>
          <w:color w:val="000000"/>
          <w:sz w:val="26"/>
          <w:szCs w:val="26"/>
        </w:rPr>
        <w:t>-опора анкерно-угловая двухцепная 1У110-4+5;</w:t>
      </w:r>
    </w:p>
    <w:p w:rsidR="004818D1" w:rsidRPr="004818D1" w:rsidRDefault="004818D1" w:rsidP="004818D1">
      <w:pPr>
        <w:shd w:val="clear" w:color="auto" w:fill="FFFFFF"/>
        <w:ind w:firstLine="709"/>
        <w:rPr>
          <w:color w:val="000000"/>
          <w:sz w:val="26"/>
          <w:szCs w:val="26"/>
        </w:rPr>
      </w:pPr>
      <w:r w:rsidRPr="004818D1">
        <w:rPr>
          <w:color w:val="000000"/>
          <w:sz w:val="26"/>
          <w:szCs w:val="26"/>
        </w:rPr>
        <w:t>-опора анкерная ответвительная двухцепная 1У110-8+5;</w:t>
      </w:r>
    </w:p>
    <w:p w:rsidR="004818D1" w:rsidRPr="004818D1" w:rsidRDefault="004818D1" w:rsidP="004818D1">
      <w:pPr>
        <w:shd w:val="clear" w:color="auto" w:fill="FFFFFF"/>
        <w:ind w:firstLine="709"/>
        <w:rPr>
          <w:color w:val="000000"/>
          <w:sz w:val="26"/>
          <w:szCs w:val="26"/>
        </w:rPr>
      </w:pPr>
      <w:r w:rsidRPr="004818D1">
        <w:rPr>
          <w:color w:val="000000"/>
          <w:sz w:val="26"/>
          <w:szCs w:val="26"/>
        </w:rPr>
        <w:t>-портал стальной ячейковый ПС-35Я1Са;</w:t>
      </w:r>
    </w:p>
    <w:p w:rsidR="004818D1" w:rsidRPr="004818D1" w:rsidRDefault="004818D1" w:rsidP="004818D1">
      <w:pPr>
        <w:shd w:val="clear" w:color="auto" w:fill="FFFFFF"/>
        <w:ind w:firstLine="709"/>
        <w:rPr>
          <w:color w:val="000000"/>
          <w:sz w:val="26"/>
          <w:szCs w:val="26"/>
        </w:rPr>
      </w:pPr>
      <w:r w:rsidRPr="004818D1">
        <w:rPr>
          <w:color w:val="000000"/>
          <w:sz w:val="26"/>
          <w:szCs w:val="26"/>
        </w:rPr>
        <w:t>-портал ячейковый ПС-35Я2Са;</w:t>
      </w:r>
    </w:p>
    <w:p w:rsidR="004818D1" w:rsidRPr="004818D1" w:rsidRDefault="004818D1" w:rsidP="004818D1">
      <w:pPr>
        <w:shd w:val="clear" w:color="auto" w:fill="FFFFFF"/>
        <w:ind w:firstLine="709"/>
        <w:rPr>
          <w:color w:val="000000"/>
          <w:sz w:val="26"/>
          <w:szCs w:val="26"/>
        </w:rPr>
      </w:pPr>
      <w:r w:rsidRPr="004818D1">
        <w:rPr>
          <w:color w:val="000000"/>
          <w:sz w:val="26"/>
          <w:szCs w:val="26"/>
        </w:rPr>
        <w:t>-портал ячейковый ПС-35Я4Са;</w:t>
      </w:r>
    </w:p>
    <w:p w:rsidR="004818D1" w:rsidRPr="004818D1" w:rsidRDefault="004818D1" w:rsidP="004818D1">
      <w:pPr>
        <w:autoSpaceDE w:val="0"/>
        <w:autoSpaceDN w:val="0"/>
        <w:adjustRightInd w:val="0"/>
        <w:ind w:firstLine="709"/>
        <w:jc w:val="both"/>
        <w:rPr>
          <w:sz w:val="26"/>
          <w:szCs w:val="26"/>
        </w:rPr>
      </w:pPr>
      <w:r w:rsidRPr="004818D1">
        <w:rPr>
          <w:color w:val="000000"/>
          <w:sz w:val="26"/>
          <w:szCs w:val="26"/>
        </w:rPr>
        <w:t>-портал ячейковый ПС-35Я2Сб.</w:t>
      </w:r>
    </w:p>
    <w:p w:rsidR="004818D1" w:rsidRPr="004818D1" w:rsidRDefault="004818D1" w:rsidP="004818D1">
      <w:pPr>
        <w:autoSpaceDE w:val="0"/>
        <w:autoSpaceDN w:val="0"/>
        <w:adjustRightInd w:val="0"/>
        <w:ind w:firstLine="709"/>
        <w:jc w:val="both"/>
        <w:rPr>
          <w:sz w:val="26"/>
          <w:szCs w:val="26"/>
        </w:rPr>
      </w:pPr>
      <w:r w:rsidRPr="004818D1">
        <w:rPr>
          <w:sz w:val="26"/>
          <w:szCs w:val="26"/>
        </w:rPr>
        <w:t xml:space="preserve">Для ВЛ 35 кВ принят провод АС 120/19 по ГОСТ 839. </w:t>
      </w:r>
      <w:r w:rsidRPr="004818D1">
        <w:rPr>
          <w:color w:val="000000"/>
          <w:sz w:val="26"/>
          <w:szCs w:val="26"/>
        </w:rPr>
        <w:t>Длина проектируемой двухцепной ВЛ 35кВ -</w:t>
      </w:r>
      <w:r w:rsidRPr="004818D1">
        <w:rPr>
          <w:bCs/>
          <w:color w:val="000000"/>
          <w:sz w:val="26"/>
          <w:szCs w:val="26"/>
        </w:rPr>
        <w:t>0,415</w:t>
      </w:r>
      <w:r w:rsidRPr="004818D1">
        <w:rPr>
          <w:color w:val="000000"/>
          <w:sz w:val="26"/>
          <w:szCs w:val="26"/>
        </w:rPr>
        <w:t> км, одноцепной - </w:t>
      </w:r>
      <w:r w:rsidRPr="004818D1">
        <w:rPr>
          <w:bCs/>
          <w:color w:val="000000"/>
          <w:sz w:val="26"/>
          <w:szCs w:val="26"/>
        </w:rPr>
        <w:t>0,235</w:t>
      </w:r>
      <w:r w:rsidRPr="004818D1">
        <w:rPr>
          <w:color w:val="000000"/>
          <w:sz w:val="26"/>
          <w:szCs w:val="26"/>
        </w:rPr>
        <w:t> км.</w:t>
      </w:r>
      <w:r w:rsidRPr="004818D1">
        <w:rPr>
          <w:sz w:val="26"/>
          <w:szCs w:val="26"/>
        </w:rPr>
        <w:t xml:space="preserve"> Провод рассчитан </w:t>
      </w:r>
      <w:r w:rsidR="00E12C94">
        <w:rPr>
          <w:sz w:val="26"/>
          <w:szCs w:val="26"/>
        </w:rPr>
        <w:br/>
      </w:r>
      <w:r w:rsidRPr="004818D1">
        <w:rPr>
          <w:sz w:val="26"/>
          <w:szCs w:val="26"/>
        </w:rPr>
        <w:t xml:space="preserve">на механические расчетные нагрузки нормального, аварийного и монтажного режимов. Проектируемая трасса ЛЭП на своем протяжении пересекает автодорогу. Расстояние по вертикали от нижних проводов проектируемой ВЛ 35 до проезжей части автодороги выполнено с учетом транспортировки по автодороге негабаритных грузов и составляет не менее 9 м. </w:t>
      </w:r>
    </w:p>
    <w:p w:rsidR="004818D1" w:rsidRPr="004818D1" w:rsidRDefault="004818D1" w:rsidP="004818D1">
      <w:pPr>
        <w:autoSpaceDE w:val="0"/>
        <w:autoSpaceDN w:val="0"/>
        <w:adjustRightInd w:val="0"/>
        <w:ind w:firstLine="709"/>
        <w:jc w:val="both"/>
        <w:rPr>
          <w:sz w:val="26"/>
          <w:szCs w:val="26"/>
        </w:rPr>
      </w:pPr>
      <w:r w:rsidRPr="004818D1">
        <w:rPr>
          <w:sz w:val="26"/>
          <w:szCs w:val="26"/>
        </w:rPr>
        <w:t xml:space="preserve">Площади земельных участков, предоставляемых во временное и постоянное пользование определены на основании требований ВСН № 14278тм-т1, а также </w:t>
      </w:r>
      <w:r w:rsidR="00E12C94">
        <w:rPr>
          <w:sz w:val="26"/>
          <w:szCs w:val="26"/>
        </w:rPr>
        <w:br/>
      </w:r>
      <w:r w:rsidRPr="004818D1">
        <w:rPr>
          <w:sz w:val="26"/>
          <w:szCs w:val="26"/>
        </w:rPr>
        <w:t xml:space="preserve">с учетом условий и методов строительства в труднопроходимой местности. Ширина полосы отвода ВЛ на период строительства составляет 46 м. Монтаж опор воздушных линий электропередач, в местах их размещения, осуществляется на земельных участках, предоставленных в краткосрочное пользование, и имеют размеры не более 800 м2, для опоры 110 кВ (ВЛ 35 кВ на опорах 110 кВ). </w:t>
      </w:r>
    </w:p>
    <w:p w:rsidR="004818D1" w:rsidRPr="004818D1" w:rsidRDefault="004818D1" w:rsidP="004818D1">
      <w:pPr>
        <w:autoSpaceDE w:val="0"/>
        <w:autoSpaceDN w:val="0"/>
        <w:adjustRightInd w:val="0"/>
        <w:ind w:firstLine="709"/>
        <w:jc w:val="both"/>
        <w:rPr>
          <w:sz w:val="26"/>
          <w:szCs w:val="26"/>
        </w:rPr>
      </w:pPr>
      <w:r w:rsidRPr="004818D1">
        <w:rPr>
          <w:sz w:val="26"/>
          <w:szCs w:val="26"/>
        </w:rPr>
        <w:t>Строительство временных дорог, необходимых на период строительства ВЛ, осуществляется в соответствии с требованиями ВСН № 14278тм-т1. Проезд строительной техники необходимой, для возведения проектируемой ВЛ, осуществляется в границах полосы отвода земельного участка во временное краткосрочное пользование.</w:t>
      </w:r>
    </w:p>
    <w:p w:rsidR="004818D1" w:rsidRPr="004818D1" w:rsidRDefault="004818D1" w:rsidP="00922FC3">
      <w:pPr>
        <w:autoSpaceDE w:val="0"/>
        <w:autoSpaceDN w:val="0"/>
        <w:adjustRightInd w:val="0"/>
        <w:ind w:firstLine="709"/>
        <w:jc w:val="both"/>
        <w:rPr>
          <w:sz w:val="26"/>
          <w:szCs w:val="26"/>
        </w:rPr>
      </w:pPr>
      <w:r w:rsidRPr="004818D1">
        <w:rPr>
          <w:sz w:val="26"/>
          <w:szCs w:val="26"/>
        </w:rPr>
        <w:t xml:space="preserve">Границы охранных зон проектируемой ВЛ определяются в соответствии </w:t>
      </w:r>
      <w:r w:rsidR="00922FC3">
        <w:rPr>
          <w:sz w:val="26"/>
          <w:szCs w:val="26"/>
        </w:rPr>
        <w:br/>
      </w:r>
      <w:r w:rsidRPr="004818D1">
        <w:rPr>
          <w:sz w:val="26"/>
          <w:szCs w:val="26"/>
        </w:rPr>
        <w:t>с</w:t>
      </w:r>
      <w:r w:rsidR="00922FC3">
        <w:rPr>
          <w:sz w:val="26"/>
          <w:szCs w:val="26"/>
        </w:rPr>
        <w:t xml:space="preserve"> </w:t>
      </w:r>
      <w:r w:rsidRPr="004818D1">
        <w:rPr>
          <w:sz w:val="26"/>
          <w:szCs w:val="26"/>
        </w:rPr>
        <w:t xml:space="preserve">постановлением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E12C94">
        <w:rPr>
          <w:sz w:val="26"/>
          <w:szCs w:val="26"/>
        </w:rPr>
        <w:br/>
      </w:r>
      <w:r w:rsidRPr="004818D1">
        <w:rPr>
          <w:sz w:val="26"/>
          <w:szCs w:val="26"/>
        </w:rPr>
        <w:t>и устанавливаются на расстоянии 15 м от крайнего провода с каждой стороны.</w:t>
      </w:r>
    </w:p>
    <w:p w:rsidR="004818D1" w:rsidRPr="004818D1" w:rsidRDefault="004818D1" w:rsidP="004818D1">
      <w:pPr>
        <w:autoSpaceDE w:val="0"/>
        <w:autoSpaceDN w:val="0"/>
        <w:adjustRightInd w:val="0"/>
        <w:ind w:firstLine="709"/>
        <w:jc w:val="both"/>
        <w:rPr>
          <w:sz w:val="26"/>
          <w:szCs w:val="26"/>
        </w:rPr>
      </w:pPr>
      <w:r w:rsidRPr="004818D1">
        <w:rPr>
          <w:bCs/>
          <w:sz w:val="26"/>
          <w:szCs w:val="26"/>
        </w:rPr>
        <w:t>Волоконно</w:t>
      </w:r>
      <w:r w:rsidRPr="004818D1">
        <w:rPr>
          <w:sz w:val="26"/>
          <w:szCs w:val="26"/>
        </w:rPr>
        <w:t>-</w:t>
      </w:r>
      <w:r w:rsidRPr="004818D1">
        <w:rPr>
          <w:bCs/>
          <w:sz w:val="26"/>
          <w:szCs w:val="26"/>
        </w:rPr>
        <w:t>оптическая</w:t>
      </w:r>
      <w:r w:rsidRPr="004818D1">
        <w:rPr>
          <w:b/>
          <w:bCs/>
          <w:sz w:val="26"/>
          <w:szCs w:val="26"/>
        </w:rPr>
        <w:t xml:space="preserve"> </w:t>
      </w:r>
      <w:r w:rsidRPr="004818D1">
        <w:rPr>
          <w:sz w:val="26"/>
          <w:szCs w:val="26"/>
        </w:rPr>
        <w:t xml:space="preserve">линия связи на линейном участке представляет собой кабель самонесущий (ОКСН), состоящий из двух цепей. Прокладывается методом подвеса на опорах ВЛ 35 кВ. Расстояние по вертикали ОКСН, при наибольшей расчетной стреле провеса, до поверхности проезжей части автодороги и поверхности земли не менее 7 м. Крепление кабеля к опорам проектируемых и существующих ВЛ </w:t>
      </w:r>
      <w:r w:rsidR="00C34509" w:rsidRPr="004818D1">
        <w:rPr>
          <w:sz w:val="26"/>
          <w:szCs w:val="26"/>
        </w:rPr>
        <w:t>осуществляется</w:t>
      </w:r>
      <w:r w:rsidRPr="004818D1">
        <w:rPr>
          <w:sz w:val="26"/>
          <w:szCs w:val="26"/>
        </w:rPr>
        <w:t xml:space="preserve"> с помощью узлов УТП-1.</w:t>
      </w:r>
    </w:p>
    <w:p w:rsidR="004818D1" w:rsidRPr="004818D1" w:rsidRDefault="004818D1" w:rsidP="004818D1">
      <w:pPr>
        <w:autoSpaceDE w:val="0"/>
        <w:autoSpaceDN w:val="0"/>
        <w:adjustRightInd w:val="0"/>
        <w:ind w:firstLine="709"/>
        <w:jc w:val="both"/>
        <w:rPr>
          <w:sz w:val="26"/>
          <w:szCs w:val="26"/>
        </w:rPr>
      </w:pPr>
      <w:r w:rsidRPr="004818D1">
        <w:rPr>
          <w:sz w:val="26"/>
          <w:szCs w:val="26"/>
        </w:rPr>
        <w:t>Проектной документацией предусматривается строительство промыслового нефтегазосборного трубопровода и высоконапорного водовода.</w:t>
      </w:r>
    </w:p>
    <w:p w:rsidR="004818D1" w:rsidRPr="004818D1" w:rsidRDefault="004818D1" w:rsidP="004818D1">
      <w:pPr>
        <w:autoSpaceDE w:val="0"/>
        <w:autoSpaceDN w:val="0"/>
        <w:adjustRightInd w:val="0"/>
        <w:ind w:firstLine="709"/>
        <w:jc w:val="both"/>
        <w:rPr>
          <w:sz w:val="26"/>
          <w:szCs w:val="26"/>
        </w:rPr>
      </w:pPr>
      <w:r w:rsidRPr="004818D1">
        <w:rPr>
          <w:bCs/>
          <w:sz w:val="26"/>
          <w:szCs w:val="26"/>
        </w:rPr>
        <w:t xml:space="preserve">Нефтегазосборный трубопровод </w:t>
      </w:r>
      <w:r w:rsidRPr="004818D1">
        <w:rPr>
          <w:sz w:val="26"/>
          <w:szCs w:val="26"/>
        </w:rPr>
        <w:t>от куста скважин №20 до узла подключения Ш40 относится к III классу (DN не менее 300) и III категории, диаметр 219х10 мм, протяженность трассы составляет – 475,5 м. Рабочее давление 6,3 МПа.</w:t>
      </w:r>
    </w:p>
    <w:p w:rsidR="004818D1" w:rsidRPr="004818D1" w:rsidRDefault="004818D1" w:rsidP="004818D1">
      <w:pPr>
        <w:autoSpaceDE w:val="0"/>
        <w:autoSpaceDN w:val="0"/>
        <w:adjustRightInd w:val="0"/>
        <w:ind w:firstLine="709"/>
        <w:jc w:val="both"/>
        <w:rPr>
          <w:sz w:val="26"/>
          <w:szCs w:val="26"/>
        </w:rPr>
      </w:pPr>
      <w:r w:rsidRPr="004818D1">
        <w:rPr>
          <w:bCs/>
          <w:sz w:val="26"/>
          <w:szCs w:val="26"/>
        </w:rPr>
        <w:t xml:space="preserve">Высоконапорный водовод </w:t>
      </w:r>
      <w:r w:rsidRPr="004818D1">
        <w:rPr>
          <w:sz w:val="26"/>
          <w:szCs w:val="26"/>
        </w:rPr>
        <w:t>от куста скважин №20 до узла подключения</w:t>
      </w:r>
    </w:p>
    <w:p w:rsidR="004818D1" w:rsidRPr="004818D1" w:rsidRDefault="004818D1" w:rsidP="004818D1">
      <w:pPr>
        <w:autoSpaceDE w:val="0"/>
        <w:autoSpaceDN w:val="0"/>
        <w:adjustRightInd w:val="0"/>
        <w:ind w:firstLine="709"/>
        <w:jc w:val="both"/>
        <w:rPr>
          <w:sz w:val="26"/>
          <w:szCs w:val="26"/>
        </w:rPr>
      </w:pPr>
      <w:r w:rsidRPr="004818D1">
        <w:rPr>
          <w:sz w:val="26"/>
          <w:szCs w:val="26"/>
        </w:rPr>
        <w:t xml:space="preserve">УН108в относится к III классу и II категории, диаметр 168х14 мм, протяженность трассы составляет – 390,1 м. Рабочее давление 19,0 МПа. Подключения нефтегазосборного трубопровода и высоконапорного водовода осуществляются на площадке пуска СОД Ш40 и на узле УН 108в. Прокладка трасс предусмотрена подземным способом в траншее. Ширина полос земель, </w:t>
      </w:r>
      <w:r w:rsidR="00922FC3">
        <w:rPr>
          <w:sz w:val="26"/>
          <w:szCs w:val="26"/>
        </w:rPr>
        <w:br/>
      </w:r>
      <w:r w:rsidRPr="004818D1">
        <w:rPr>
          <w:sz w:val="26"/>
          <w:szCs w:val="26"/>
        </w:rPr>
        <w:t>для подземных трубопроводов, взята в соответствии с требованиями СН 459-74 табл.2.</w:t>
      </w:r>
    </w:p>
    <w:p w:rsidR="004818D1" w:rsidRPr="004818D1" w:rsidRDefault="004818D1" w:rsidP="00474F8F">
      <w:pPr>
        <w:autoSpaceDE w:val="0"/>
        <w:autoSpaceDN w:val="0"/>
        <w:adjustRightInd w:val="0"/>
        <w:ind w:firstLine="709"/>
        <w:jc w:val="both"/>
        <w:rPr>
          <w:sz w:val="26"/>
          <w:szCs w:val="26"/>
        </w:rPr>
      </w:pPr>
      <w:r w:rsidRPr="004818D1">
        <w:rPr>
          <w:sz w:val="26"/>
          <w:szCs w:val="26"/>
        </w:rPr>
        <w:t xml:space="preserve">Расстояния от оси проектируемого трубопровода до автодороги </w:t>
      </w:r>
      <w:r w:rsidR="00922FC3">
        <w:rPr>
          <w:sz w:val="26"/>
          <w:szCs w:val="26"/>
        </w:rPr>
        <w:br/>
      </w:r>
      <w:r w:rsidRPr="004818D1">
        <w:rPr>
          <w:sz w:val="26"/>
          <w:szCs w:val="26"/>
        </w:rPr>
        <w:t>и параллельных коммуникаций приняты в соответствии с требованиями табл. 3 ВСН 51-2.38-85 и табл. 13, 14 СП 34-116-97 с учетом условий безопасности строительства и эксплуатации объектов.</w:t>
      </w:r>
    </w:p>
    <w:p w:rsidR="004818D1" w:rsidRPr="004818D1" w:rsidRDefault="004818D1" w:rsidP="004818D1">
      <w:pPr>
        <w:autoSpaceDE w:val="0"/>
        <w:autoSpaceDN w:val="0"/>
        <w:adjustRightInd w:val="0"/>
        <w:ind w:firstLine="709"/>
        <w:jc w:val="both"/>
        <w:rPr>
          <w:sz w:val="26"/>
          <w:szCs w:val="26"/>
        </w:rPr>
      </w:pPr>
      <w:r w:rsidRPr="004818D1">
        <w:rPr>
          <w:sz w:val="26"/>
          <w:szCs w:val="26"/>
        </w:rPr>
        <w:t>Минимальные расстояния составляют:</w:t>
      </w:r>
    </w:p>
    <w:p w:rsidR="004818D1" w:rsidRPr="004818D1" w:rsidRDefault="004818D1" w:rsidP="004818D1">
      <w:pPr>
        <w:autoSpaceDE w:val="0"/>
        <w:autoSpaceDN w:val="0"/>
        <w:adjustRightInd w:val="0"/>
        <w:ind w:firstLine="709"/>
        <w:jc w:val="both"/>
        <w:rPr>
          <w:sz w:val="26"/>
          <w:szCs w:val="26"/>
        </w:rPr>
      </w:pPr>
      <w:r w:rsidRPr="004818D1">
        <w:rPr>
          <w:sz w:val="26"/>
          <w:szCs w:val="26"/>
        </w:rPr>
        <w:t>- между осью проектируемого нефтегазосборного трубопровода и осью</w:t>
      </w:r>
    </w:p>
    <w:p w:rsidR="004818D1" w:rsidRPr="004818D1" w:rsidRDefault="004818D1" w:rsidP="004818D1">
      <w:pPr>
        <w:autoSpaceDE w:val="0"/>
        <w:autoSpaceDN w:val="0"/>
        <w:adjustRightInd w:val="0"/>
        <w:ind w:firstLine="709"/>
        <w:jc w:val="both"/>
        <w:rPr>
          <w:sz w:val="26"/>
          <w:szCs w:val="26"/>
        </w:rPr>
      </w:pPr>
      <w:r w:rsidRPr="004818D1">
        <w:rPr>
          <w:sz w:val="26"/>
          <w:szCs w:val="26"/>
        </w:rPr>
        <w:t>автодороги к Кусту 20 – не менее 10 м до подошвы насыпи земляного</w:t>
      </w:r>
    </w:p>
    <w:p w:rsidR="004818D1" w:rsidRPr="004818D1" w:rsidRDefault="004818D1" w:rsidP="004818D1">
      <w:pPr>
        <w:autoSpaceDE w:val="0"/>
        <w:autoSpaceDN w:val="0"/>
        <w:adjustRightInd w:val="0"/>
        <w:ind w:firstLine="709"/>
        <w:jc w:val="both"/>
        <w:rPr>
          <w:sz w:val="26"/>
          <w:szCs w:val="26"/>
        </w:rPr>
      </w:pPr>
      <w:r w:rsidRPr="004818D1">
        <w:rPr>
          <w:sz w:val="26"/>
          <w:szCs w:val="26"/>
        </w:rPr>
        <w:t>полотна автодороги;</w:t>
      </w:r>
    </w:p>
    <w:p w:rsidR="004818D1" w:rsidRPr="004818D1" w:rsidRDefault="004818D1" w:rsidP="004818D1">
      <w:pPr>
        <w:autoSpaceDE w:val="0"/>
        <w:autoSpaceDN w:val="0"/>
        <w:adjustRightInd w:val="0"/>
        <w:ind w:firstLine="709"/>
        <w:jc w:val="both"/>
        <w:rPr>
          <w:sz w:val="26"/>
          <w:szCs w:val="26"/>
        </w:rPr>
      </w:pPr>
      <w:r w:rsidRPr="004818D1">
        <w:rPr>
          <w:sz w:val="26"/>
          <w:szCs w:val="26"/>
        </w:rPr>
        <w:t>- минимальное расстояние между осями проектируемых трубопроводов</w:t>
      </w:r>
    </w:p>
    <w:p w:rsidR="004818D1" w:rsidRPr="004818D1" w:rsidRDefault="004818D1" w:rsidP="004818D1">
      <w:pPr>
        <w:autoSpaceDE w:val="0"/>
        <w:autoSpaceDN w:val="0"/>
        <w:adjustRightInd w:val="0"/>
        <w:ind w:firstLine="709"/>
        <w:jc w:val="both"/>
        <w:rPr>
          <w:sz w:val="26"/>
          <w:szCs w:val="26"/>
        </w:rPr>
      </w:pPr>
      <w:r w:rsidRPr="004818D1">
        <w:rPr>
          <w:sz w:val="26"/>
          <w:szCs w:val="26"/>
        </w:rPr>
        <w:t>составляет 8 м.</w:t>
      </w:r>
    </w:p>
    <w:p w:rsidR="004818D1" w:rsidRPr="004818D1" w:rsidRDefault="004818D1" w:rsidP="004818D1">
      <w:pPr>
        <w:autoSpaceDE w:val="0"/>
        <w:autoSpaceDN w:val="0"/>
        <w:adjustRightInd w:val="0"/>
        <w:ind w:firstLine="709"/>
        <w:jc w:val="both"/>
        <w:rPr>
          <w:sz w:val="26"/>
          <w:szCs w:val="26"/>
        </w:rPr>
      </w:pPr>
      <w:r w:rsidRPr="004818D1">
        <w:rPr>
          <w:sz w:val="26"/>
          <w:szCs w:val="26"/>
        </w:rPr>
        <w:t xml:space="preserve">Расстояния от проектируемого трубопровода при пересечении, сближении </w:t>
      </w:r>
      <w:r w:rsidR="00922FC3">
        <w:rPr>
          <w:sz w:val="26"/>
          <w:szCs w:val="26"/>
        </w:rPr>
        <w:br/>
      </w:r>
      <w:r w:rsidRPr="004818D1">
        <w:rPr>
          <w:sz w:val="26"/>
          <w:szCs w:val="26"/>
        </w:rPr>
        <w:t>и параллельном следовании линий ВЛ приняты в соответствии с требованиями табл. 2.5.40 ПУЭ.</w:t>
      </w:r>
    </w:p>
    <w:p w:rsidR="004818D1" w:rsidRPr="004818D1" w:rsidRDefault="004818D1" w:rsidP="004818D1">
      <w:pPr>
        <w:autoSpaceDE w:val="0"/>
        <w:autoSpaceDN w:val="0"/>
        <w:adjustRightInd w:val="0"/>
        <w:ind w:firstLine="709"/>
        <w:jc w:val="both"/>
        <w:rPr>
          <w:sz w:val="26"/>
          <w:szCs w:val="26"/>
        </w:rPr>
      </w:pPr>
      <w:r w:rsidRPr="004818D1">
        <w:rPr>
          <w:sz w:val="26"/>
          <w:szCs w:val="26"/>
        </w:rPr>
        <w:t>Трасса корридора коммуникаций от Куста 20 не имеет пересечений с водными преградами.</w:t>
      </w:r>
    </w:p>
    <w:p w:rsidR="004818D1" w:rsidRPr="004818D1" w:rsidRDefault="004818D1" w:rsidP="004818D1">
      <w:pPr>
        <w:autoSpaceDE w:val="0"/>
        <w:autoSpaceDN w:val="0"/>
        <w:adjustRightInd w:val="0"/>
        <w:ind w:firstLine="709"/>
        <w:jc w:val="both"/>
        <w:rPr>
          <w:sz w:val="26"/>
          <w:szCs w:val="26"/>
        </w:rPr>
      </w:pPr>
      <w:r w:rsidRPr="004818D1">
        <w:rPr>
          <w:sz w:val="26"/>
          <w:szCs w:val="26"/>
        </w:rPr>
        <w:t>Прокладку трубопроводов через проектируемую автомобильную дорогу предусматривается выполнять открытым способом в футляре. Устройство футляров выполнить на стадии строительства автодороги.</w:t>
      </w:r>
    </w:p>
    <w:p w:rsidR="004818D1" w:rsidRPr="004818D1" w:rsidRDefault="004818D1" w:rsidP="004818D1">
      <w:pPr>
        <w:autoSpaceDE w:val="0"/>
        <w:autoSpaceDN w:val="0"/>
        <w:adjustRightInd w:val="0"/>
        <w:ind w:firstLine="709"/>
        <w:jc w:val="both"/>
        <w:rPr>
          <w:sz w:val="26"/>
          <w:szCs w:val="26"/>
        </w:rPr>
      </w:pPr>
      <w:r w:rsidRPr="004818D1">
        <w:rPr>
          <w:sz w:val="26"/>
          <w:szCs w:val="26"/>
        </w:rPr>
        <w:t xml:space="preserve">Подземный переход трубопроводов через автомобильную дорогу выполняется в соответствии с требованиями СНиП 2.05.06-85*, СП 34-116-97, ВСН 51-2.38-85. Глубина заложения от верха покрытия дороги до верхней образующей защитного футляра в соответствии с требованием п. 7.33 СП 34-116-97 принята не менее 1,4 м. Концы футляра выводятся на 5 м от бровки земляного полотна, но не менее 2,0 м </w:t>
      </w:r>
      <w:r w:rsidR="00922FC3">
        <w:rPr>
          <w:sz w:val="26"/>
          <w:szCs w:val="26"/>
        </w:rPr>
        <w:br/>
      </w:r>
      <w:r w:rsidRPr="004818D1">
        <w:rPr>
          <w:sz w:val="26"/>
          <w:szCs w:val="26"/>
        </w:rPr>
        <w:t>от подошвы насып</w:t>
      </w:r>
      <w:r>
        <w:rPr>
          <w:sz w:val="26"/>
          <w:szCs w:val="26"/>
        </w:rPr>
        <w:t>и согласно п. 7.32 СП 34-116-97».</w:t>
      </w:r>
    </w:p>
    <w:bookmarkEnd w:id="14"/>
    <w:bookmarkEnd w:id="15"/>
    <w:bookmarkEnd w:id="16"/>
    <w:p w:rsidR="00154283" w:rsidRPr="005C302E" w:rsidRDefault="009A16AE" w:rsidP="00922FC3">
      <w:pPr>
        <w:pStyle w:val="a3"/>
        <w:numPr>
          <w:ilvl w:val="0"/>
          <w:numId w:val="1"/>
        </w:numPr>
        <w:tabs>
          <w:tab w:val="left" w:pos="0"/>
          <w:tab w:val="left" w:pos="1134"/>
        </w:tabs>
        <w:ind w:left="0" w:firstLine="709"/>
        <w:jc w:val="both"/>
        <w:rPr>
          <w:sz w:val="26"/>
          <w:szCs w:val="26"/>
        </w:rPr>
      </w:pPr>
      <w:r w:rsidRPr="00E97F33">
        <w:rPr>
          <w:sz w:val="26"/>
          <w:szCs w:val="26"/>
        </w:rPr>
        <w:t xml:space="preserve">Настоящее постановление </w:t>
      </w:r>
      <w:r>
        <w:rPr>
          <w:sz w:val="26"/>
          <w:szCs w:val="26"/>
        </w:rPr>
        <w:t xml:space="preserve">подлежит </w:t>
      </w:r>
      <w:r w:rsidRPr="00E97F33">
        <w:rPr>
          <w:sz w:val="26"/>
          <w:szCs w:val="26"/>
        </w:rPr>
        <w:t>опубликовани</w:t>
      </w:r>
      <w:r>
        <w:rPr>
          <w:sz w:val="26"/>
          <w:szCs w:val="26"/>
        </w:rPr>
        <w:t>ю</w:t>
      </w:r>
      <w:r w:rsidRPr="00E97F33">
        <w:rPr>
          <w:sz w:val="26"/>
          <w:szCs w:val="26"/>
        </w:rPr>
        <w:t xml:space="preserve"> в </w:t>
      </w:r>
      <w:r>
        <w:rPr>
          <w:sz w:val="26"/>
          <w:szCs w:val="26"/>
        </w:rPr>
        <w:t>газете</w:t>
      </w:r>
      <w:r w:rsidRPr="00E97F33">
        <w:rPr>
          <w:sz w:val="26"/>
          <w:szCs w:val="26"/>
        </w:rPr>
        <w:t xml:space="preserve"> «</w:t>
      </w:r>
      <w:r>
        <w:rPr>
          <w:sz w:val="26"/>
          <w:szCs w:val="26"/>
        </w:rPr>
        <w:t>Югорское обозрение</w:t>
      </w:r>
      <w:r w:rsidRPr="00E97F33">
        <w:rPr>
          <w:sz w:val="26"/>
          <w:szCs w:val="26"/>
        </w:rPr>
        <w:t>»</w:t>
      </w:r>
      <w:r w:rsidR="00456419">
        <w:rPr>
          <w:sz w:val="26"/>
          <w:szCs w:val="26"/>
        </w:rPr>
        <w:t xml:space="preserve"> </w:t>
      </w:r>
      <w:r w:rsidRPr="00E97F33">
        <w:rPr>
          <w:sz w:val="26"/>
          <w:szCs w:val="26"/>
        </w:rPr>
        <w:t xml:space="preserve">и </w:t>
      </w:r>
      <w:r>
        <w:rPr>
          <w:sz w:val="26"/>
          <w:szCs w:val="26"/>
        </w:rPr>
        <w:t xml:space="preserve">размещению </w:t>
      </w:r>
      <w:r w:rsidRPr="00E97F33">
        <w:rPr>
          <w:sz w:val="26"/>
          <w:szCs w:val="26"/>
        </w:rPr>
        <w:t xml:space="preserve">на официальном сайте </w:t>
      </w:r>
      <w:r>
        <w:rPr>
          <w:sz w:val="26"/>
          <w:szCs w:val="26"/>
        </w:rPr>
        <w:t>органов местного самоуправления Нефтеюганского района.</w:t>
      </w:r>
    </w:p>
    <w:p w:rsidR="00EB427C" w:rsidRDefault="00E12C94" w:rsidP="00922FC3">
      <w:pPr>
        <w:pStyle w:val="a3"/>
        <w:numPr>
          <w:ilvl w:val="0"/>
          <w:numId w:val="1"/>
        </w:numPr>
        <w:tabs>
          <w:tab w:val="left" w:pos="0"/>
          <w:tab w:val="left" w:pos="1134"/>
        </w:tabs>
        <w:ind w:left="0" w:firstLine="709"/>
        <w:jc w:val="both"/>
        <w:rPr>
          <w:sz w:val="26"/>
          <w:szCs w:val="26"/>
        </w:rPr>
      </w:pPr>
      <w:r w:rsidRPr="00E12C94">
        <w:rPr>
          <w:sz w:val="26"/>
          <w:szCs w:val="26"/>
        </w:rPr>
        <w:t xml:space="preserve">Контроль за выполнением постановления возложить на директора </w:t>
      </w:r>
      <w:r w:rsidRPr="00E12C94">
        <w:rPr>
          <w:sz w:val="26"/>
          <w:szCs w:val="26"/>
        </w:rPr>
        <w:br/>
        <w:t xml:space="preserve">департамента имущественных отношений – заместителя главы Нефтеюганского </w:t>
      </w:r>
      <w:r w:rsidRPr="00E12C94">
        <w:rPr>
          <w:sz w:val="26"/>
          <w:szCs w:val="26"/>
        </w:rPr>
        <w:br/>
        <w:t>района Бородкину О.В.</w:t>
      </w:r>
    </w:p>
    <w:p w:rsidR="00EB427C" w:rsidRDefault="00EB427C" w:rsidP="00EB427C">
      <w:pPr>
        <w:jc w:val="both"/>
        <w:rPr>
          <w:sz w:val="26"/>
          <w:szCs w:val="26"/>
        </w:rPr>
      </w:pPr>
    </w:p>
    <w:p w:rsidR="00486B0C" w:rsidRDefault="00486B0C" w:rsidP="00EB427C">
      <w:pPr>
        <w:jc w:val="both"/>
        <w:rPr>
          <w:sz w:val="26"/>
          <w:szCs w:val="26"/>
        </w:rPr>
      </w:pPr>
    </w:p>
    <w:p w:rsidR="00486B0C" w:rsidRDefault="00486B0C" w:rsidP="00EB427C">
      <w:pPr>
        <w:jc w:val="both"/>
        <w:rPr>
          <w:sz w:val="26"/>
          <w:szCs w:val="26"/>
        </w:rPr>
      </w:pPr>
    </w:p>
    <w:p w:rsidR="00177C90" w:rsidRPr="00826D89" w:rsidRDefault="00E12C94" w:rsidP="00826D89">
      <w:pPr>
        <w:jc w:val="both"/>
        <w:rPr>
          <w:sz w:val="26"/>
          <w:szCs w:val="26"/>
        </w:rPr>
        <w:sectPr w:rsidR="00177C90" w:rsidRPr="00826D89" w:rsidSect="00542141">
          <w:headerReference w:type="default" r:id="rId13"/>
          <w:pgSz w:w="11906" w:h="16838"/>
          <w:pgMar w:top="709" w:right="567" w:bottom="1134" w:left="1701" w:header="708" w:footer="708" w:gutter="0"/>
          <w:cols w:space="708"/>
          <w:titlePg/>
          <w:docGrid w:linePitch="360"/>
        </w:sect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Г.В.Лапковская</w:t>
      </w:r>
    </w:p>
    <w:p w:rsidR="00CA5ADC" w:rsidRPr="00CA5ADC" w:rsidRDefault="00CA5ADC" w:rsidP="00B41080">
      <w:pPr>
        <w:shd w:val="clear" w:color="auto" w:fill="FFFFFF"/>
        <w:tabs>
          <w:tab w:val="left" w:pos="730"/>
        </w:tabs>
        <w:jc w:val="both"/>
      </w:pPr>
    </w:p>
    <w:sectPr w:rsidR="00CA5ADC" w:rsidRPr="00CA5ADC" w:rsidSect="00E12C94">
      <w:headerReference w:type="even" r:id="rId14"/>
      <w:headerReference w:type="default" r:id="rId15"/>
      <w:pgSz w:w="11906" w:h="16838"/>
      <w:pgMar w:top="1134" w:right="567"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18" w:rsidRDefault="00151918" w:rsidP="00177C90">
      <w:r>
        <w:separator/>
      </w:r>
    </w:p>
  </w:endnote>
  <w:endnote w:type="continuationSeparator" w:id="0">
    <w:p w:rsidR="00151918" w:rsidRDefault="00151918" w:rsidP="0017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18" w:rsidRDefault="00151918" w:rsidP="00177C90">
      <w:r>
        <w:separator/>
      </w:r>
    </w:p>
  </w:footnote>
  <w:footnote w:type="continuationSeparator" w:id="0">
    <w:p w:rsidR="00151918" w:rsidRDefault="00151918" w:rsidP="00177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01817"/>
      <w:docPartObj>
        <w:docPartGallery w:val="Page Numbers (Top of Page)"/>
        <w:docPartUnique/>
      </w:docPartObj>
    </w:sdtPr>
    <w:sdtEndPr/>
    <w:sdtContent>
      <w:p w:rsidR="00E12C94" w:rsidRDefault="00E12C94">
        <w:pPr>
          <w:pStyle w:val="a8"/>
          <w:jc w:val="center"/>
        </w:pPr>
        <w:r>
          <w:fldChar w:fldCharType="begin"/>
        </w:r>
        <w:r>
          <w:instrText>PAGE   \* MERGEFORMAT</w:instrText>
        </w:r>
        <w:r>
          <w:fldChar w:fldCharType="separate"/>
        </w:r>
        <w:r w:rsidR="00997A6E">
          <w:rPr>
            <w:noProof/>
          </w:rPr>
          <w:t>4</w:t>
        </w:r>
        <w:r>
          <w:fldChar w:fldCharType="end"/>
        </w:r>
      </w:p>
    </w:sdtContent>
  </w:sdt>
  <w:p w:rsidR="00E12C94" w:rsidRDefault="00E12C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D3" w:rsidRDefault="009D348A" w:rsidP="003F425C">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636D3" w:rsidRDefault="0015191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D3" w:rsidRPr="006211D5" w:rsidRDefault="009D348A" w:rsidP="003F425C">
    <w:pPr>
      <w:pStyle w:val="a8"/>
      <w:framePr w:wrap="around" w:vAnchor="text" w:hAnchor="margin" w:xAlign="center" w:y="1"/>
      <w:rPr>
        <w:rStyle w:val="ac"/>
      </w:rPr>
    </w:pPr>
    <w:r w:rsidRPr="006211D5">
      <w:rPr>
        <w:rStyle w:val="ac"/>
      </w:rPr>
      <w:fldChar w:fldCharType="begin"/>
    </w:r>
    <w:r w:rsidRPr="006211D5">
      <w:rPr>
        <w:rStyle w:val="ac"/>
      </w:rPr>
      <w:instrText xml:space="preserve">PAGE  </w:instrText>
    </w:r>
    <w:r w:rsidRPr="006211D5">
      <w:rPr>
        <w:rStyle w:val="ac"/>
      </w:rPr>
      <w:fldChar w:fldCharType="separate"/>
    </w:r>
    <w:r>
      <w:rPr>
        <w:rStyle w:val="ac"/>
        <w:noProof/>
      </w:rPr>
      <w:t>2</w:t>
    </w:r>
    <w:r w:rsidRPr="006211D5">
      <w:rPr>
        <w:rStyle w:val="ac"/>
      </w:rPr>
      <w:fldChar w:fldCharType="end"/>
    </w:r>
  </w:p>
  <w:p w:rsidR="00B636D3" w:rsidRDefault="001519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6127"/>
    <w:multiLevelType w:val="hybridMultilevel"/>
    <w:tmpl w:val="C66A5034"/>
    <w:lvl w:ilvl="0" w:tplc="13425222">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DE5277"/>
    <w:multiLevelType w:val="hybridMultilevel"/>
    <w:tmpl w:val="0896DEAC"/>
    <w:lvl w:ilvl="0" w:tplc="F322EB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A60A5D"/>
    <w:multiLevelType w:val="hybridMultilevel"/>
    <w:tmpl w:val="C3B4697E"/>
    <w:lvl w:ilvl="0" w:tplc="1DC2F8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8121A5"/>
    <w:multiLevelType w:val="multilevel"/>
    <w:tmpl w:val="8014DC9E"/>
    <w:lvl w:ilvl="0">
      <w:start w:val="1"/>
      <w:numFmt w:val="decimal"/>
      <w:lvlText w:val="%1."/>
      <w:lvlJc w:val="left"/>
      <w:pPr>
        <w:ind w:left="1070" w:hanging="360"/>
      </w:pPr>
      <w:rPr>
        <w:rFonts w:hint="default"/>
        <w:color w:val="000000" w:themeColor="text1"/>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64205AF3"/>
    <w:multiLevelType w:val="hybridMultilevel"/>
    <w:tmpl w:val="8EEC5620"/>
    <w:styleLink w:val="211421"/>
    <w:lvl w:ilvl="0" w:tplc="1DC2F862">
      <w:start w:val="1"/>
      <w:numFmt w:val="bullet"/>
      <w:suff w:val="space"/>
      <w:lvlText w:val="-"/>
      <w:lvlJc w:val="left"/>
      <w:pPr>
        <w:ind w:left="992"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24"/>
    <w:rsid w:val="00000C42"/>
    <w:rsid w:val="00025F0E"/>
    <w:rsid w:val="00056A61"/>
    <w:rsid w:val="000A3297"/>
    <w:rsid w:val="000D5901"/>
    <w:rsid w:val="000E0221"/>
    <w:rsid w:val="000F3FFA"/>
    <w:rsid w:val="001052D9"/>
    <w:rsid w:val="00113F60"/>
    <w:rsid w:val="00117345"/>
    <w:rsid w:val="001179FA"/>
    <w:rsid w:val="001240B9"/>
    <w:rsid w:val="0013111A"/>
    <w:rsid w:val="00151918"/>
    <w:rsid w:val="00154283"/>
    <w:rsid w:val="00177C90"/>
    <w:rsid w:val="001879D1"/>
    <w:rsid w:val="001B7A65"/>
    <w:rsid w:val="001C1D1A"/>
    <w:rsid w:val="001D3C25"/>
    <w:rsid w:val="0020010B"/>
    <w:rsid w:val="002065A9"/>
    <w:rsid w:val="00256650"/>
    <w:rsid w:val="002634FA"/>
    <w:rsid w:val="002827E1"/>
    <w:rsid w:val="002C6769"/>
    <w:rsid w:val="002F0BBD"/>
    <w:rsid w:val="003014B1"/>
    <w:rsid w:val="003127EA"/>
    <w:rsid w:val="003239EB"/>
    <w:rsid w:val="003249A4"/>
    <w:rsid w:val="00360E1D"/>
    <w:rsid w:val="003B682E"/>
    <w:rsid w:val="003C725B"/>
    <w:rsid w:val="003E74DA"/>
    <w:rsid w:val="00456419"/>
    <w:rsid w:val="00474F8F"/>
    <w:rsid w:val="0048046E"/>
    <w:rsid w:val="004818D1"/>
    <w:rsid w:val="00486B0C"/>
    <w:rsid w:val="004874EB"/>
    <w:rsid w:val="004A1271"/>
    <w:rsid w:val="004B4E30"/>
    <w:rsid w:val="004C6B7D"/>
    <w:rsid w:val="004E4244"/>
    <w:rsid w:val="004F4105"/>
    <w:rsid w:val="005048D6"/>
    <w:rsid w:val="005231CA"/>
    <w:rsid w:val="0052579E"/>
    <w:rsid w:val="00542141"/>
    <w:rsid w:val="00554D7E"/>
    <w:rsid w:val="00566DB6"/>
    <w:rsid w:val="00581ED3"/>
    <w:rsid w:val="0059116F"/>
    <w:rsid w:val="005C302E"/>
    <w:rsid w:val="005C47CB"/>
    <w:rsid w:val="005E075E"/>
    <w:rsid w:val="005E3437"/>
    <w:rsid w:val="005E655C"/>
    <w:rsid w:val="00602C48"/>
    <w:rsid w:val="00616975"/>
    <w:rsid w:val="006241D1"/>
    <w:rsid w:val="006441DD"/>
    <w:rsid w:val="006532A0"/>
    <w:rsid w:val="00663007"/>
    <w:rsid w:val="00666A02"/>
    <w:rsid w:val="0067280F"/>
    <w:rsid w:val="00692714"/>
    <w:rsid w:val="00697529"/>
    <w:rsid w:val="006A3B2D"/>
    <w:rsid w:val="006A652A"/>
    <w:rsid w:val="006B0B6E"/>
    <w:rsid w:val="006B106D"/>
    <w:rsid w:val="006B67FD"/>
    <w:rsid w:val="006C045F"/>
    <w:rsid w:val="006D2FF1"/>
    <w:rsid w:val="006D53CE"/>
    <w:rsid w:val="006E1591"/>
    <w:rsid w:val="006E6601"/>
    <w:rsid w:val="0070041A"/>
    <w:rsid w:val="0071092F"/>
    <w:rsid w:val="007148E8"/>
    <w:rsid w:val="00714E32"/>
    <w:rsid w:val="00752FDD"/>
    <w:rsid w:val="007625C9"/>
    <w:rsid w:val="00777EAC"/>
    <w:rsid w:val="007928D5"/>
    <w:rsid w:val="0079623C"/>
    <w:rsid w:val="007A18E0"/>
    <w:rsid w:val="007D6C17"/>
    <w:rsid w:val="007E7B50"/>
    <w:rsid w:val="007F126D"/>
    <w:rsid w:val="00812424"/>
    <w:rsid w:val="00821040"/>
    <w:rsid w:val="00825EA7"/>
    <w:rsid w:val="00826D89"/>
    <w:rsid w:val="00833BED"/>
    <w:rsid w:val="00842230"/>
    <w:rsid w:val="00845025"/>
    <w:rsid w:val="0085433F"/>
    <w:rsid w:val="008665A3"/>
    <w:rsid w:val="0089036D"/>
    <w:rsid w:val="008B6AC0"/>
    <w:rsid w:val="008C0179"/>
    <w:rsid w:val="008C4F94"/>
    <w:rsid w:val="008C5BD0"/>
    <w:rsid w:val="008C6876"/>
    <w:rsid w:val="00907672"/>
    <w:rsid w:val="00922FC3"/>
    <w:rsid w:val="00925D67"/>
    <w:rsid w:val="00927303"/>
    <w:rsid w:val="009536B6"/>
    <w:rsid w:val="00997A6E"/>
    <w:rsid w:val="009A122B"/>
    <w:rsid w:val="009A16AE"/>
    <w:rsid w:val="009A2A4D"/>
    <w:rsid w:val="009B5421"/>
    <w:rsid w:val="009C6AAF"/>
    <w:rsid w:val="009D348A"/>
    <w:rsid w:val="009E656E"/>
    <w:rsid w:val="009F1D25"/>
    <w:rsid w:val="009F51B1"/>
    <w:rsid w:val="00A11B82"/>
    <w:rsid w:val="00A15A83"/>
    <w:rsid w:val="00A23538"/>
    <w:rsid w:val="00A5451A"/>
    <w:rsid w:val="00A632DD"/>
    <w:rsid w:val="00AA30D8"/>
    <w:rsid w:val="00AB67CE"/>
    <w:rsid w:val="00AB7905"/>
    <w:rsid w:val="00AC13CF"/>
    <w:rsid w:val="00AE10A4"/>
    <w:rsid w:val="00AE423E"/>
    <w:rsid w:val="00AF648B"/>
    <w:rsid w:val="00B21AFE"/>
    <w:rsid w:val="00B33EE7"/>
    <w:rsid w:val="00B37B20"/>
    <w:rsid w:val="00B41080"/>
    <w:rsid w:val="00B55335"/>
    <w:rsid w:val="00B6598B"/>
    <w:rsid w:val="00B67B29"/>
    <w:rsid w:val="00B75DB5"/>
    <w:rsid w:val="00B770AD"/>
    <w:rsid w:val="00B8266F"/>
    <w:rsid w:val="00B84CA1"/>
    <w:rsid w:val="00BA0869"/>
    <w:rsid w:val="00BE7079"/>
    <w:rsid w:val="00C066D8"/>
    <w:rsid w:val="00C10BEC"/>
    <w:rsid w:val="00C22034"/>
    <w:rsid w:val="00C34509"/>
    <w:rsid w:val="00C73FE9"/>
    <w:rsid w:val="00C801E4"/>
    <w:rsid w:val="00C8325A"/>
    <w:rsid w:val="00C923B3"/>
    <w:rsid w:val="00C9519B"/>
    <w:rsid w:val="00C95512"/>
    <w:rsid w:val="00C95E26"/>
    <w:rsid w:val="00CA3BD7"/>
    <w:rsid w:val="00CA5ADC"/>
    <w:rsid w:val="00CD3918"/>
    <w:rsid w:val="00CE324F"/>
    <w:rsid w:val="00CE428B"/>
    <w:rsid w:val="00CE7C4E"/>
    <w:rsid w:val="00D33284"/>
    <w:rsid w:val="00D355A6"/>
    <w:rsid w:val="00D5289B"/>
    <w:rsid w:val="00D707E0"/>
    <w:rsid w:val="00D83646"/>
    <w:rsid w:val="00D93BCC"/>
    <w:rsid w:val="00D95943"/>
    <w:rsid w:val="00DA0CF1"/>
    <w:rsid w:val="00DA2576"/>
    <w:rsid w:val="00DD03DF"/>
    <w:rsid w:val="00E12C94"/>
    <w:rsid w:val="00E15D98"/>
    <w:rsid w:val="00E24EB1"/>
    <w:rsid w:val="00E4334B"/>
    <w:rsid w:val="00E44F73"/>
    <w:rsid w:val="00E52C19"/>
    <w:rsid w:val="00E7253C"/>
    <w:rsid w:val="00E97F33"/>
    <w:rsid w:val="00EA47A1"/>
    <w:rsid w:val="00EB427C"/>
    <w:rsid w:val="00ED0465"/>
    <w:rsid w:val="00ED4132"/>
    <w:rsid w:val="00F051FD"/>
    <w:rsid w:val="00F14CA5"/>
    <w:rsid w:val="00F163B1"/>
    <w:rsid w:val="00F23D56"/>
    <w:rsid w:val="00F27091"/>
    <w:rsid w:val="00F41DFD"/>
    <w:rsid w:val="00F55EFD"/>
    <w:rsid w:val="00F56BE6"/>
    <w:rsid w:val="00F74AB0"/>
    <w:rsid w:val="00FC2910"/>
    <w:rsid w:val="00FC57B7"/>
    <w:rsid w:val="00FD0ED0"/>
    <w:rsid w:val="00FE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2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84C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632D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5421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77C90"/>
    <w:pPr>
      <w:tabs>
        <w:tab w:val="center" w:pos="4677"/>
        <w:tab w:val="right" w:pos="9355"/>
      </w:tabs>
    </w:pPr>
  </w:style>
  <w:style w:type="character" w:customStyle="1" w:styleId="a9">
    <w:name w:val="Верхний колонтитул Знак"/>
    <w:basedOn w:val="a0"/>
    <w:link w:val="a8"/>
    <w:uiPriority w:val="99"/>
    <w:rsid w:val="00177C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77C90"/>
    <w:pPr>
      <w:tabs>
        <w:tab w:val="center" w:pos="4677"/>
        <w:tab w:val="right" w:pos="9355"/>
      </w:tabs>
    </w:pPr>
  </w:style>
  <w:style w:type="character" w:customStyle="1" w:styleId="ab">
    <w:name w:val="Нижний колонтитул Знак"/>
    <w:basedOn w:val="a0"/>
    <w:link w:val="aa"/>
    <w:uiPriority w:val="99"/>
    <w:rsid w:val="00177C9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84CA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632DD"/>
    <w:rPr>
      <w:rFonts w:asciiTheme="majorHAnsi" w:eastAsiaTheme="majorEastAsia" w:hAnsiTheme="majorHAnsi" w:cstheme="majorBidi"/>
      <w:b/>
      <w:bCs/>
      <w:color w:val="4F81BD" w:themeColor="accent1"/>
      <w:sz w:val="24"/>
      <w:szCs w:val="24"/>
      <w:lang w:eastAsia="ru-RU"/>
    </w:rPr>
  </w:style>
  <w:style w:type="numbering" w:customStyle="1" w:styleId="211421">
    <w:name w:val="Стиль211421"/>
    <w:rsid w:val="004874EB"/>
    <w:pPr>
      <w:numPr>
        <w:numId w:val="4"/>
      </w:numPr>
    </w:pPr>
  </w:style>
  <w:style w:type="character" w:styleId="ac">
    <w:name w:val="page number"/>
    <w:basedOn w:val="a0"/>
    <w:rsid w:val="00AE10A4"/>
  </w:style>
  <w:style w:type="character" w:customStyle="1" w:styleId="60">
    <w:name w:val="Заголовок 6 Знак"/>
    <w:basedOn w:val="a0"/>
    <w:link w:val="6"/>
    <w:uiPriority w:val="9"/>
    <w:semiHidden/>
    <w:rsid w:val="00542141"/>
    <w:rPr>
      <w:rFonts w:asciiTheme="majorHAnsi" w:eastAsiaTheme="majorEastAsia" w:hAnsiTheme="majorHAnsi" w:cstheme="majorBidi"/>
      <w:i/>
      <w:iCs/>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2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84C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632D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5421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77C90"/>
    <w:pPr>
      <w:tabs>
        <w:tab w:val="center" w:pos="4677"/>
        <w:tab w:val="right" w:pos="9355"/>
      </w:tabs>
    </w:pPr>
  </w:style>
  <w:style w:type="character" w:customStyle="1" w:styleId="a9">
    <w:name w:val="Верхний колонтитул Знак"/>
    <w:basedOn w:val="a0"/>
    <w:link w:val="a8"/>
    <w:uiPriority w:val="99"/>
    <w:rsid w:val="00177C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77C90"/>
    <w:pPr>
      <w:tabs>
        <w:tab w:val="center" w:pos="4677"/>
        <w:tab w:val="right" w:pos="9355"/>
      </w:tabs>
    </w:pPr>
  </w:style>
  <w:style w:type="character" w:customStyle="1" w:styleId="ab">
    <w:name w:val="Нижний колонтитул Знак"/>
    <w:basedOn w:val="a0"/>
    <w:link w:val="aa"/>
    <w:uiPriority w:val="99"/>
    <w:rsid w:val="00177C9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84CA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632DD"/>
    <w:rPr>
      <w:rFonts w:asciiTheme="majorHAnsi" w:eastAsiaTheme="majorEastAsia" w:hAnsiTheme="majorHAnsi" w:cstheme="majorBidi"/>
      <w:b/>
      <w:bCs/>
      <w:color w:val="4F81BD" w:themeColor="accent1"/>
      <w:sz w:val="24"/>
      <w:szCs w:val="24"/>
      <w:lang w:eastAsia="ru-RU"/>
    </w:rPr>
  </w:style>
  <w:style w:type="numbering" w:customStyle="1" w:styleId="211421">
    <w:name w:val="Стиль211421"/>
    <w:rsid w:val="004874EB"/>
    <w:pPr>
      <w:numPr>
        <w:numId w:val="4"/>
      </w:numPr>
    </w:pPr>
  </w:style>
  <w:style w:type="character" w:styleId="ac">
    <w:name w:val="page number"/>
    <w:basedOn w:val="a0"/>
    <w:rsid w:val="00AE10A4"/>
  </w:style>
  <w:style w:type="character" w:customStyle="1" w:styleId="60">
    <w:name w:val="Заголовок 6 Знак"/>
    <w:basedOn w:val="a0"/>
    <w:link w:val="6"/>
    <w:uiPriority w:val="9"/>
    <w:semiHidden/>
    <w:rsid w:val="00542141"/>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6840-B324-447E-936F-BD7CD425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Алина Хамитовна</dc:creator>
  <cp:lastModifiedBy>Лукашева Лариса Александровна</cp:lastModifiedBy>
  <cp:revision>2</cp:revision>
  <cp:lastPrinted>2018-07-26T12:03:00Z</cp:lastPrinted>
  <dcterms:created xsi:type="dcterms:W3CDTF">2018-07-27T12:19:00Z</dcterms:created>
  <dcterms:modified xsi:type="dcterms:W3CDTF">2018-07-27T12:19:00Z</dcterms:modified>
</cp:coreProperties>
</file>