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05" w:rsidRDefault="00EB33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3305" w:rsidRDefault="00EB3305">
      <w:pPr>
        <w:pStyle w:val="ConsPlusNormal"/>
        <w:jc w:val="both"/>
        <w:outlineLvl w:val="0"/>
      </w:pPr>
    </w:p>
    <w:p w:rsidR="00EB3305" w:rsidRDefault="00EB330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EB3305" w:rsidRDefault="00EB3305">
      <w:pPr>
        <w:pStyle w:val="ConsPlusTitle"/>
        <w:jc w:val="center"/>
      </w:pPr>
    </w:p>
    <w:p w:rsidR="00EB3305" w:rsidRDefault="00EB3305">
      <w:pPr>
        <w:pStyle w:val="ConsPlusTitle"/>
        <w:jc w:val="center"/>
      </w:pPr>
      <w:r>
        <w:t>ПОСТАНОВЛЕНИЕ</w:t>
      </w:r>
    </w:p>
    <w:p w:rsidR="00EB3305" w:rsidRDefault="00EB3305">
      <w:pPr>
        <w:pStyle w:val="ConsPlusTitle"/>
        <w:jc w:val="center"/>
      </w:pPr>
      <w:r>
        <w:t>от 5 октября 2018 г. N 349-п</w:t>
      </w:r>
    </w:p>
    <w:p w:rsidR="00EB3305" w:rsidRDefault="00EB3305">
      <w:pPr>
        <w:pStyle w:val="ConsPlusTitle"/>
        <w:jc w:val="center"/>
      </w:pPr>
    </w:p>
    <w:p w:rsidR="00EB3305" w:rsidRDefault="00EB3305">
      <w:pPr>
        <w:pStyle w:val="ConsPlusTitle"/>
        <w:jc w:val="center"/>
      </w:pPr>
      <w:r>
        <w:t xml:space="preserve">О ГОСУДАРСТВЕННОЙ ПРОГРАММЕ </w:t>
      </w:r>
      <w:proofErr w:type="gramStart"/>
      <w:r>
        <w:t>ХАНТЫ-МАНСИЙСКОГО</w:t>
      </w:r>
      <w:proofErr w:type="gramEnd"/>
      <w:r>
        <w:t xml:space="preserve"> АВТОНОМНОГО</w:t>
      </w:r>
    </w:p>
    <w:p w:rsidR="00EB3305" w:rsidRDefault="00EB3305">
      <w:pPr>
        <w:pStyle w:val="ConsPlusTitle"/>
        <w:jc w:val="center"/>
      </w:pPr>
      <w:r>
        <w:t>ОКРУГА - ЮГРЫ "РЕАЛИЗАЦИЯ ГОСУДАРСТВЕННОЙ НАЦИОНАЛЬНОЙ</w:t>
      </w:r>
    </w:p>
    <w:p w:rsidR="00EB3305" w:rsidRDefault="00EB3305">
      <w:pPr>
        <w:pStyle w:val="ConsPlusTitle"/>
        <w:jc w:val="center"/>
      </w:pPr>
      <w:r>
        <w:t>ПОЛИТИКИ И ПРОФИЛАКТИКА ЭКСТРЕМИЗМА"</w:t>
      </w:r>
    </w:p>
    <w:p w:rsidR="00EB3305" w:rsidRDefault="00EB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305" w:rsidRDefault="00EB33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15.02.2019 </w:t>
            </w:r>
            <w:hyperlink r:id="rId6" w:history="1">
              <w:r>
                <w:rPr>
                  <w:color w:val="0000FF"/>
                </w:rPr>
                <w:t>N 43-п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05.04.2019 </w:t>
            </w:r>
            <w:hyperlink r:id="rId7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 xml:space="preserve">, от 03.10.2019 </w:t>
            </w:r>
            <w:hyperlink r:id="rId8" w:history="1">
              <w:r>
                <w:rPr>
                  <w:color w:val="0000FF"/>
                </w:rPr>
                <w:t>N 349-п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27 июля 2018 года N 226-п "О модельной государственной программе Ханты-Мансийского автономного округа - Югры, порядке принятия решения о разработке государственных программ Ханты-Мансийского автономного округа -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округа - Югры в соответствии с</w:t>
      </w:r>
      <w:proofErr w:type="gramEnd"/>
      <w:r>
        <w:t xml:space="preserve"> национальными целями развития" Правительство Ханты-Мансийского автономного округа - Югры постановляет: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1. Утвердить: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1.1. Государственную </w:t>
      </w:r>
      <w:hyperlink w:anchor="P49" w:history="1">
        <w:r>
          <w:rPr>
            <w:color w:val="0000FF"/>
          </w:rPr>
          <w:t>программу</w:t>
        </w:r>
      </w:hyperlink>
      <w:r>
        <w:t xml:space="preserve"> Ханты-Мансийского автономного округа - Югры "Реализация государственной национальной политики и профилактика экстремизма" (далее - государственная программа) (приложение 1).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1.2. </w:t>
      </w:r>
      <w:hyperlink w:anchor="P3313" w:history="1">
        <w:r>
          <w:rPr>
            <w:color w:val="0000FF"/>
          </w:rPr>
          <w:t>Направления</w:t>
        </w:r>
      </w:hyperlink>
      <w:r>
        <w:t xml:space="preserve"> мероприятий государственной программы (приложение 2).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1.3. </w:t>
      </w:r>
      <w:hyperlink w:anchor="P3502" w:history="1">
        <w:r>
          <w:rPr>
            <w:color w:val="0000FF"/>
          </w:rPr>
          <w:t>Порядок</w:t>
        </w:r>
      </w:hyperlink>
      <w:r>
        <w:t xml:space="preserve"> предоставления субсидии на реализацию мероприятия 1.1 Подпрограммы 1 "Гармонизация межнациональных и межконфессиональных отношений" государственной программы (приложение 3).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1.4. </w:t>
      </w:r>
      <w:hyperlink w:anchor="P3581" w:history="1">
        <w:r>
          <w:rPr>
            <w:color w:val="0000FF"/>
          </w:rPr>
          <w:t>Порядок</w:t>
        </w:r>
      </w:hyperlink>
      <w:r>
        <w:t xml:space="preserve"> предоставления средств бюджета автономного округа местным бюджетам для реализации мероприятия 1.10 подпрограммы 1 "Гармонизация межнациональных и межконфессиональных отношений" (приложение 4).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1.5. </w:t>
      </w:r>
      <w:hyperlink w:anchor="P3687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победителям конкурса проектов по формированию культуры толерантности, противодействию ксенофобии и профилактике экстремизма (приложение 5).</w:t>
      </w:r>
    </w:p>
    <w:p w:rsidR="00EB3305" w:rsidRDefault="00EB330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03.10.2019 N 349-п)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1.6. </w:t>
      </w:r>
      <w:hyperlink w:anchor="P3886" w:history="1">
        <w:r>
          <w:rPr>
            <w:color w:val="0000FF"/>
          </w:rPr>
          <w:t>Порядок</w:t>
        </w:r>
      </w:hyperlink>
      <w:r>
        <w:t xml:space="preserve"> предоставления субсидии на реализацию мероприятия 3.1 подпрограммы 3 "Развитие российского казачества" государственной программы (приложение 6).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1.7. </w:t>
      </w:r>
      <w:hyperlink w:anchor="P3956" w:history="1">
        <w:r>
          <w:rPr>
            <w:color w:val="0000FF"/>
          </w:rPr>
          <w:t>Порядок</w:t>
        </w:r>
      </w:hyperlink>
      <w:r>
        <w:t xml:space="preserve"> предоставления субсидии на реализацию мероприятия 3.3 подпрограммы 3 "Развитие российского казачества" государственной программы (приложение 7).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1.8. </w:t>
      </w:r>
      <w:hyperlink w:anchor="P4031" w:history="1">
        <w:r>
          <w:rPr>
            <w:color w:val="0000FF"/>
          </w:rPr>
          <w:t>Порядок</w:t>
        </w:r>
      </w:hyperlink>
      <w:r>
        <w:t xml:space="preserve"> предоставления субсидии на реализацию мероприятия 3.5 подпрограммы 3 "Развитие российского казачества" государственной программы (приложение 8).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lastRenderedPageBreak/>
        <w:t xml:space="preserve">1.9. </w:t>
      </w:r>
      <w:hyperlink w:anchor="P4103" w:history="1">
        <w:r>
          <w:rPr>
            <w:color w:val="0000FF"/>
          </w:rPr>
          <w:t>Порядок</w:t>
        </w:r>
      </w:hyperlink>
      <w:r>
        <w:t xml:space="preserve"> предоставления грантов </w:t>
      </w:r>
      <w:proofErr w:type="gramStart"/>
      <w:r>
        <w:t>в форме субсидии победителям конкурса по вопросам развития кадетских классов с казачьим компонентом на базе муниципальных общеобразовательных организаций в Ханты-Мансийском</w:t>
      </w:r>
      <w:proofErr w:type="gramEnd"/>
      <w:r>
        <w:t xml:space="preserve"> автономном округе - Югре (приложение 9).</w:t>
      </w:r>
    </w:p>
    <w:p w:rsidR="00EB3305" w:rsidRDefault="00EB3305">
      <w:pPr>
        <w:pStyle w:val="ConsPlusNormal"/>
        <w:jc w:val="both"/>
      </w:pPr>
      <w:r>
        <w:t xml:space="preserve">(пп. 1.9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03.10.2019 N 349-п)</w:t>
      </w:r>
    </w:p>
    <w:p w:rsidR="00EB3305" w:rsidRDefault="00EB3305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15.02.2019 N 43-п)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2. Определить Департамент внутренней политики Ханты-Мансийского автономного округа - Югры ответственным исполнителем государственной программы.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3. Настоящее постановление вступает в силу 1 января 2019 года.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right"/>
      </w:pPr>
      <w:r>
        <w:t>Губернатор</w:t>
      </w:r>
    </w:p>
    <w:p w:rsidR="00EB3305" w:rsidRDefault="00EB3305">
      <w:pPr>
        <w:pStyle w:val="ConsPlusNormal"/>
        <w:jc w:val="right"/>
      </w:pPr>
      <w:r>
        <w:t>Ханты-Мансийского</w:t>
      </w:r>
    </w:p>
    <w:p w:rsidR="00EB3305" w:rsidRDefault="00EB3305">
      <w:pPr>
        <w:pStyle w:val="ConsPlusNormal"/>
        <w:jc w:val="right"/>
      </w:pPr>
      <w:r>
        <w:t>автономного округа - Югры</w:t>
      </w:r>
    </w:p>
    <w:p w:rsidR="00EB3305" w:rsidRDefault="00EB3305">
      <w:pPr>
        <w:pStyle w:val="ConsPlusNormal"/>
        <w:jc w:val="right"/>
      </w:pPr>
      <w:r>
        <w:t>Н.В.КОМАРОВА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right"/>
        <w:outlineLvl w:val="0"/>
      </w:pPr>
      <w:r>
        <w:t>Приложение 1</w:t>
      </w:r>
    </w:p>
    <w:p w:rsidR="00EB3305" w:rsidRDefault="00EB3305">
      <w:pPr>
        <w:pStyle w:val="ConsPlusNormal"/>
        <w:jc w:val="right"/>
      </w:pPr>
      <w:r>
        <w:t>к постановлению</w:t>
      </w:r>
    </w:p>
    <w:p w:rsidR="00EB3305" w:rsidRDefault="00EB3305">
      <w:pPr>
        <w:pStyle w:val="ConsPlusNormal"/>
        <w:jc w:val="right"/>
      </w:pPr>
      <w:r>
        <w:t>Правительства</w:t>
      </w:r>
    </w:p>
    <w:p w:rsidR="00EB3305" w:rsidRDefault="00EB3305">
      <w:pPr>
        <w:pStyle w:val="ConsPlusNormal"/>
        <w:jc w:val="right"/>
      </w:pPr>
      <w:r>
        <w:t>Ханты-Мансийского</w:t>
      </w:r>
    </w:p>
    <w:p w:rsidR="00EB3305" w:rsidRDefault="00EB3305">
      <w:pPr>
        <w:pStyle w:val="ConsPlusNormal"/>
        <w:jc w:val="right"/>
      </w:pPr>
      <w:r>
        <w:t>автономного округа - Югры</w:t>
      </w:r>
    </w:p>
    <w:p w:rsidR="00EB3305" w:rsidRDefault="00EB3305">
      <w:pPr>
        <w:pStyle w:val="ConsPlusNormal"/>
        <w:jc w:val="right"/>
      </w:pPr>
      <w:r>
        <w:t>от 5 октября 2018 года N 349-п</w:t>
      </w:r>
    </w:p>
    <w:p w:rsidR="00EB3305" w:rsidRDefault="00EB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305" w:rsidRDefault="00EB33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15.02.2019 </w:t>
            </w:r>
            <w:hyperlink r:id="rId14" w:history="1">
              <w:r>
                <w:rPr>
                  <w:color w:val="0000FF"/>
                </w:rPr>
                <w:t>N 43-п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05.04.2019 </w:t>
            </w:r>
            <w:hyperlink r:id="rId15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 xml:space="preserve">, от 03.10.2019 </w:t>
            </w:r>
            <w:hyperlink r:id="rId16" w:history="1">
              <w:r>
                <w:rPr>
                  <w:color w:val="0000FF"/>
                </w:rPr>
                <w:t>N 349-п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  <w:outlineLvl w:val="1"/>
      </w:pPr>
      <w:bookmarkStart w:id="0" w:name="P49"/>
      <w:bookmarkEnd w:id="0"/>
      <w:r>
        <w:t>Паспорт</w:t>
      </w:r>
    </w:p>
    <w:p w:rsidR="00EB3305" w:rsidRDefault="00EB3305">
      <w:pPr>
        <w:pStyle w:val="ConsPlusTitle"/>
        <w:jc w:val="center"/>
      </w:pPr>
      <w:r>
        <w:t xml:space="preserve">государственной программы Ханты-Мансийского </w:t>
      </w:r>
      <w:proofErr w:type="gramStart"/>
      <w:r>
        <w:t>автономного</w:t>
      </w:r>
      <w:proofErr w:type="gramEnd"/>
    </w:p>
    <w:p w:rsidR="00EB3305" w:rsidRDefault="00EB3305">
      <w:pPr>
        <w:pStyle w:val="ConsPlusTitle"/>
        <w:jc w:val="center"/>
      </w:pPr>
      <w:r>
        <w:t>округа - Югры "Реализация государственной национальной</w:t>
      </w:r>
    </w:p>
    <w:p w:rsidR="00EB3305" w:rsidRDefault="00EB3305">
      <w:pPr>
        <w:pStyle w:val="ConsPlusTitle"/>
        <w:jc w:val="center"/>
      </w:pPr>
      <w:r>
        <w:t>политики и профилактика экстремизма"</w:t>
      </w:r>
    </w:p>
    <w:p w:rsidR="00EB3305" w:rsidRDefault="00EB3305">
      <w:pPr>
        <w:pStyle w:val="ConsPlusTitle"/>
        <w:jc w:val="center"/>
      </w:pPr>
      <w:r>
        <w:t>(далее - государственная программа)</w:t>
      </w:r>
    </w:p>
    <w:p w:rsidR="00EB3305" w:rsidRDefault="00EB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EB3305">
        <w:tc>
          <w:tcPr>
            <w:tcW w:w="2494" w:type="dxa"/>
          </w:tcPr>
          <w:p w:rsidR="00EB3305" w:rsidRDefault="00EB3305">
            <w:pPr>
              <w:pStyle w:val="ConsPlusNormal"/>
              <w:jc w:val="both"/>
            </w:pPr>
            <w:r>
              <w:t>Наименование государственной программы</w:t>
            </w:r>
          </w:p>
        </w:tc>
        <w:tc>
          <w:tcPr>
            <w:tcW w:w="6576" w:type="dxa"/>
          </w:tcPr>
          <w:p w:rsidR="00EB3305" w:rsidRDefault="00EB3305">
            <w:pPr>
              <w:pStyle w:val="ConsPlusNormal"/>
              <w:jc w:val="both"/>
            </w:pPr>
            <w:r>
              <w:t>Реализация государственной национальной политики и профилактика экстремизма</w:t>
            </w:r>
          </w:p>
        </w:tc>
      </w:tr>
      <w:tr w:rsidR="00EB3305">
        <w:tc>
          <w:tcPr>
            <w:tcW w:w="2494" w:type="dxa"/>
          </w:tcPr>
          <w:p w:rsidR="00EB3305" w:rsidRDefault="00EB3305">
            <w:pPr>
              <w:pStyle w:val="ConsPlusNormal"/>
              <w:jc w:val="both"/>
            </w:pPr>
            <w:r>
              <w:t>Дата утверждения государственной программы (наименование и номер соответствующего нормативного правового акта)</w:t>
            </w:r>
          </w:p>
        </w:tc>
        <w:tc>
          <w:tcPr>
            <w:tcW w:w="6576" w:type="dxa"/>
          </w:tcPr>
          <w:p w:rsidR="00EB3305" w:rsidRDefault="00EB3305">
            <w:pPr>
              <w:pStyle w:val="ConsPlusNormal"/>
              <w:jc w:val="both"/>
            </w:pPr>
            <w:r>
              <w:t>постановление Правительства Ханты-Мансийского автономного округа - Югры (далее - автономный округ) от 5 октября 2018 года N 349-п 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</w:t>
            </w:r>
          </w:p>
        </w:tc>
      </w:tr>
      <w:tr w:rsidR="00EB3305">
        <w:tc>
          <w:tcPr>
            <w:tcW w:w="2494" w:type="dxa"/>
          </w:tcPr>
          <w:p w:rsidR="00EB3305" w:rsidRDefault="00EB3305">
            <w:pPr>
              <w:pStyle w:val="ConsPlusNormal"/>
              <w:jc w:val="both"/>
            </w:pPr>
            <w:r>
              <w:t xml:space="preserve">Ответственный исполнитель государственной </w:t>
            </w:r>
            <w:r>
              <w:lastRenderedPageBreak/>
              <w:t>программы</w:t>
            </w:r>
          </w:p>
        </w:tc>
        <w:tc>
          <w:tcPr>
            <w:tcW w:w="6576" w:type="dxa"/>
          </w:tcPr>
          <w:p w:rsidR="00EB3305" w:rsidRDefault="00EB3305">
            <w:pPr>
              <w:pStyle w:val="ConsPlusNormal"/>
              <w:jc w:val="both"/>
            </w:pPr>
            <w:r>
              <w:lastRenderedPageBreak/>
              <w:t>Департамент внутренней политики автономного округа (далее - Депполитики Югры)</w:t>
            </w:r>
          </w:p>
        </w:tc>
      </w:tr>
      <w:tr w:rsidR="00EB3305">
        <w:tc>
          <w:tcPr>
            <w:tcW w:w="2494" w:type="dxa"/>
          </w:tcPr>
          <w:p w:rsidR="00EB3305" w:rsidRDefault="00EB3305">
            <w:pPr>
              <w:pStyle w:val="ConsPlusNormal"/>
              <w:jc w:val="both"/>
            </w:pPr>
            <w:r>
              <w:lastRenderedPageBreak/>
              <w:t>Соисполнители государственной программы</w:t>
            </w:r>
          </w:p>
        </w:tc>
        <w:tc>
          <w:tcPr>
            <w:tcW w:w="6576" w:type="dxa"/>
          </w:tcPr>
          <w:p w:rsidR="00EB3305" w:rsidRDefault="00EB3305">
            <w:pPr>
              <w:pStyle w:val="ConsPlusNormal"/>
              <w:ind w:firstLine="283"/>
              <w:jc w:val="both"/>
            </w:pPr>
            <w:r>
              <w:t>Аппарат Губернатора автономного округа;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Департамент гражданской защиты населения автономного округа (далее - Департамент гражданской защиты Югры);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Департамент информационных технологий и цифрового развития автономного округа (далее - Депинформтехнологий Югры);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Департамент культуры автономного округа (далее - Депкультуры Югры);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Департамент недропользования и природных ресурсов автономного округа (далее - Депнедра и природных ресурсов Югры);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Департамент образования и молодежной политики автономного округа (далее - Депобразования и молодежи Югры);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Департамент общественных и внешних связей автономного округа (далее - Департамент общественных и внешних связей Югры);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Департамент социального развития автономного округа (далее - Депсоцразвития Югры);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Департамент труда и занятости населения автономного округа (далее - Дептруда и занятости Югры);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Департамент физической культуры и спорта автономного округа (далее - Депспорт Югры);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Служба по контролю и надзору в сфере охраны окружающей среды, объектов животного мира и лесных отношений автономного округа (далее - Природнадзор Югры)</w:t>
            </w:r>
          </w:p>
        </w:tc>
      </w:tr>
      <w:tr w:rsidR="00EB3305">
        <w:tc>
          <w:tcPr>
            <w:tcW w:w="2494" w:type="dxa"/>
          </w:tcPr>
          <w:p w:rsidR="00EB3305" w:rsidRDefault="00EB3305">
            <w:pPr>
              <w:pStyle w:val="ConsPlusNormal"/>
              <w:jc w:val="both"/>
            </w:pPr>
            <w:r>
              <w:t>Цель государственной программы</w:t>
            </w:r>
          </w:p>
        </w:tc>
        <w:tc>
          <w:tcPr>
            <w:tcW w:w="6576" w:type="dxa"/>
          </w:tcPr>
          <w:p w:rsidR="00EB3305" w:rsidRDefault="00EB3305">
            <w:pPr>
              <w:pStyle w:val="ConsPlusNormal"/>
              <w:jc w:val="both"/>
            </w:pPr>
            <w:r>
              <w:t>Укрепление единства многонационального народа Российской Федерации, профилактика экстремизма на национальной и религиозной почве</w:t>
            </w:r>
          </w:p>
        </w:tc>
      </w:tr>
      <w:tr w:rsidR="00EB3305">
        <w:tc>
          <w:tcPr>
            <w:tcW w:w="2494" w:type="dxa"/>
          </w:tcPr>
          <w:p w:rsidR="00EB3305" w:rsidRDefault="00EB3305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6576" w:type="dxa"/>
          </w:tcPr>
          <w:p w:rsidR="00EB3305" w:rsidRDefault="00EB3305">
            <w:pPr>
              <w:pStyle w:val="ConsPlusNormal"/>
              <w:ind w:firstLine="283"/>
              <w:jc w:val="both"/>
            </w:pPr>
            <w:r>
              <w:t>1. Укрепление межнационального и межконфессионального согласия, сохранение этнокультурного многообразия народов Российской Федерации, проживающих в автономном округе.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2. Предупреждение экстремистской деятельности, укрепление гражданского единства.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3. Содействие социальной и культурной адаптации мигрантов.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4. Содействие развитию и консолидации казачества через усиление его роли в решении государственных и муниципальных задач</w:t>
            </w:r>
          </w:p>
        </w:tc>
      </w:tr>
      <w:tr w:rsidR="00EB3305">
        <w:tc>
          <w:tcPr>
            <w:tcW w:w="2494" w:type="dxa"/>
          </w:tcPr>
          <w:p w:rsidR="00EB3305" w:rsidRDefault="00EB3305">
            <w:pPr>
              <w:pStyle w:val="ConsPlusNormal"/>
              <w:jc w:val="both"/>
            </w:pPr>
            <w:r>
              <w:t>Подпрограммы</w:t>
            </w:r>
          </w:p>
        </w:tc>
        <w:tc>
          <w:tcPr>
            <w:tcW w:w="6576" w:type="dxa"/>
          </w:tcPr>
          <w:p w:rsidR="00EB3305" w:rsidRDefault="00EB3305">
            <w:pPr>
              <w:pStyle w:val="ConsPlusNormal"/>
              <w:ind w:firstLine="283"/>
              <w:jc w:val="both"/>
            </w:pPr>
            <w:hyperlink w:anchor="P243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"Гармонизация межнациональных и межконфессиональных отношений".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hyperlink w:anchor="P98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"Профилактика экстремизма, обеспечение гражданского единства".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hyperlink w:anchor="P1668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российского казачества"</w:t>
            </w:r>
          </w:p>
        </w:tc>
      </w:tr>
      <w:tr w:rsidR="00EB3305">
        <w:tc>
          <w:tcPr>
            <w:tcW w:w="2494" w:type="dxa"/>
          </w:tcPr>
          <w:p w:rsidR="00EB3305" w:rsidRDefault="00EB3305">
            <w:pPr>
              <w:pStyle w:val="ConsPlusNormal"/>
              <w:jc w:val="both"/>
            </w:pPr>
            <w:r>
              <w:t xml:space="preserve">Портфели проектов, проекты автономного округа, входящие в состав государственной программы, в том числе направленные на </w:t>
            </w:r>
            <w:r>
              <w:lastRenderedPageBreak/>
              <w:t>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76" w:type="dxa"/>
          </w:tcPr>
          <w:p w:rsidR="00EB3305" w:rsidRDefault="00EB3305">
            <w:pPr>
              <w:pStyle w:val="ConsPlusNormal"/>
            </w:pPr>
          </w:p>
        </w:tc>
      </w:tr>
      <w:tr w:rsidR="00EB3305">
        <w:tc>
          <w:tcPr>
            <w:tcW w:w="2494" w:type="dxa"/>
          </w:tcPr>
          <w:p w:rsidR="00EB3305" w:rsidRDefault="00EB3305">
            <w:pPr>
              <w:pStyle w:val="ConsPlusNormal"/>
              <w:jc w:val="both"/>
            </w:pPr>
            <w:r>
              <w:lastRenderedPageBreak/>
              <w:t>Целевые показатели государственной программы</w:t>
            </w:r>
          </w:p>
        </w:tc>
        <w:tc>
          <w:tcPr>
            <w:tcW w:w="6576" w:type="dxa"/>
          </w:tcPr>
          <w:p w:rsidR="00EB3305" w:rsidRDefault="00EB3305">
            <w:pPr>
              <w:pStyle w:val="ConsPlusNormal"/>
              <w:ind w:firstLine="283"/>
              <w:jc w:val="both"/>
            </w:pPr>
            <w:r>
              <w:t>увеличение доли граждан, положительно оценивающих состояние межнациональных отношений в автономном округе, в общем количестве граждан на 15,6%;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увеличение численности участников мероприятий, направленных на этнокультурное развитие народов России, проживающих в автономном округе, на 3,0 тыс. человек;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увеличение количества участников мероприятий, направленных на укрепление общероссийского гражданского единства, проживающих в автономном округе, на 2,3 тыс. человек</w:t>
            </w:r>
          </w:p>
        </w:tc>
      </w:tr>
      <w:tr w:rsidR="00EB3305">
        <w:tc>
          <w:tcPr>
            <w:tcW w:w="2494" w:type="dxa"/>
          </w:tcPr>
          <w:p w:rsidR="00EB3305" w:rsidRDefault="00EB3305">
            <w:pPr>
              <w:pStyle w:val="ConsPlusNormal"/>
              <w:jc w:val="both"/>
            </w:pPr>
            <w:r>
              <w:t>Сроки реализации государственной программы (разрабатывается на срок от трех лет)</w:t>
            </w:r>
          </w:p>
        </w:tc>
        <w:tc>
          <w:tcPr>
            <w:tcW w:w="6576" w:type="dxa"/>
          </w:tcPr>
          <w:p w:rsidR="00EB3305" w:rsidRDefault="00EB3305">
            <w:pPr>
              <w:pStyle w:val="ConsPlusNormal"/>
              <w:jc w:val="both"/>
            </w:pPr>
            <w:r>
              <w:t>2019 - 2025 годы и на период до 2030 года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>Параметры финансового обеспечения государственной 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 w:rsidR="00EB3305" w:rsidRDefault="00EB3305">
            <w:pPr>
              <w:pStyle w:val="ConsPlusNormal"/>
              <w:ind w:firstLine="283"/>
              <w:jc w:val="both"/>
            </w:pPr>
            <w:r>
              <w:t>общее финансирование государственной программы: 488188,1 тыс. рублей, в том числе: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2019 год - 48018,7 тыс. рублей,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2020 год - 40015,4 тыс. рублей,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2021 год - 40015,4 тыс. рублей,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2022 год - 40015,4 тыс. рублей,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2023 год - 40015,4 тыс. рублей,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2024 год - 40015,4 тыс. рублей,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2025 год - 40015,4 тыс. рублей,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2026 - 2030 годы - 200077,0 тыс. рублей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 xml:space="preserve">(в ред. постановлений Правительства ХМАО - Югры от 05.04.2019 </w:t>
            </w:r>
            <w:hyperlink r:id="rId17" w:history="1">
              <w:r>
                <w:rPr>
                  <w:color w:val="0000FF"/>
                </w:rPr>
                <w:t>N 111-п</w:t>
              </w:r>
            </w:hyperlink>
            <w:r>
              <w:t xml:space="preserve">, от 03.10.2019 </w:t>
            </w:r>
            <w:hyperlink r:id="rId18" w:history="1">
              <w:r>
                <w:rPr>
                  <w:color w:val="0000FF"/>
                </w:rPr>
                <w:t>N 349-п</w:t>
              </w:r>
            </w:hyperlink>
            <w:r>
              <w:t>)</w:t>
            </w:r>
          </w:p>
        </w:tc>
      </w:tr>
    </w:tbl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  <w:outlineLvl w:val="1"/>
      </w:pPr>
      <w:r>
        <w:t xml:space="preserve">Раздел 1. О СТИМУЛИРОВАНИИ </w:t>
      </w:r>
      <w:proofErr w:type="gramStart"/>
      <w:r>
        <w:t>ИНВЕСТИЦИОННОЙ</w:t>
      </w:r>
      <w:proofErr w:type="gramEnd"/>
      <w:r>
        <w:t xml:space="preserve"> И ИННОВАЦИОННОЙ</w:t>
      </w:r>
    </w:p>
    <w:p w:rsidR="00EB3305" w:rsidRDefault="00EB3305">
      <w:pPr>
        <w:pStyle w:val="ConsPlusTitle"/>
        <w:jc w:val="center"/>
      </w:pPr>
      <w:r>
        <w:t xml:space="preserve">ДЕЯТЕЛЬНОСТИ, РАЗВИТИЕ КОНКУРЕНЦИИ И </w:t>
      </w:r>
      <w:proofErr w:type="gramStart"/>
      <w:r>
        <w:t>НЕГОСУДАРСТВЕННОГО</w:t>
      </w:r>
      <w:proofErr w:type="gramEnd"/>
    </w:p>
    <w:p w:rsidR="00EB3305" w:rsidRDefault="00EB3305">
      <w:pPr>
        <w:pStyle w:val="ConsPlusTitle"/>
        <w:jc w:val="center"/>
      </w:pPr>
      <w:r>
        <w:t>СЕКТОРА ЭКОНОМИКИ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 xml:space="preserve">Исходя из полномочий ответственного исполнителя государственная программа не содержит мер, направленных </w:t>
      </w:r>
      <w:proofErr w:type="gramStart"/>
      <w:r>
        <w:t>на</w:t>
      </w:r>
      <w:proofErr w:type="gramEnd"/>
      <w:r>
        <w:t>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формирование благоприятного инвестиционного климата;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создание благоприятных условий для ведения предпринимательской деятельности;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В качестве меры, направленной на улучшение конкурентной среды, Государственная программа содержит мероприятия по привлечению социально ориентированных некоммерческих организаций (за исключением государственных и муниципальных учреждений) к участию во всероссийских и региональных мероприятиях по реализации государственной </w:t>
      </w:r>
      <w:r>
        <w:lastRenderedPageBreak/>
        <w:t>национальной политики и профилактике экстремизма.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Повышение производительности труда осуществляется за счет: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применения системы мотивации через финансовую поддержку организаций, реализующих мероприятия в сфере государственной национальной политики, профилактики экстремизма;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повышения уровня квалификации государственных, гражданских служащих, специалистов учреждений, реализующих мероприятия в сфере государственной национальной политики, профилактики экстремизма.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  <w:outlineLvl w:val="1"/>
      </w:pPr>
      <w:r>
        <w:t>Раздел 2. МЕХАНИЗМЫ РЕАЛИЗАЦИИ МЕРОПРИЯТИЙ ГОСУДАРСТВЕННОЙ</w:t>
      </w:r>
    </w:p>
    <w:p w:rsidR="00EB3305" w:rsidRDefault="00EB3305">
      <w:pPr>
        <w:pStyle w:val="ConsPlusTitle"/>
        <w:jc w:val="center"/>
      </w:pPr>
      <w:r>
        <w:t>ПРОГРАММЫ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>В целях эффективного исполнения мероприятий государственной программы используются следующие механизмы: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заключение государственными заказчиками государственных контрактов на приобретение товаров (оказание услуг, выполнение работ) для государственных нужд в порядке, установленном законодательством Российской Федерации;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передача части функций соисполнителей государственной программы подведомственным государственным организациям, учреждениям автономного округа в соответствии с государственным заданием на оказание государственных услуг (выполнение работ), если эти функции соответствуют уставу (положению) государственной организации, учреждения, а также органам местного самоуправления муниципальных образований, с обязательным согласованием содержания мероприятий с ответственным исполнителем государственной программы;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заключение соглашений (договоров) с федеральными органами исполнительной власти о взаимодействии в целях совместной реализации мероприятий государственной программы в автономном округе;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заключение соглашений с органами местного самоуправления в целях совместной реализации мероприятий государственной программы;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применение инструментов "бережливого производства", которое способствует ускорению принятия стратегических решений, улучшению взаимодействия между органами власти автономного округа, совершенствованию механизмов государственной поддержки;</w:t>
      </w:r>
    </w:p>
    <w:p w:rsidR="00EB3305" w:rsidRDefault="00EB3305">
      <w:pPr>
        <w:pStyle w:val="ConsPlusNormal"/>
        <w:spacing w:before="220"/>
        <w:ind w:firstLine="540"/>
        <w:jc w:val="both"/>
      </w:pPr>
      <w:proofErr w:type="gramStart"/>
      <w:r>
        <w:t>рассмотрение Межведомственной комиссией автономного округа по противодействию экстремистской деятельности аналитического отчета по результатам социологического исследования, содержащего выводы и предложения по повышению эффективности реализуемых мероприятий и принятию дополнительных мер, направленных на обеспечение межнационального и межконфессионального согласия, в разрезе муниципальных образований автономного округа (представляется ежегодно до 1 ноября текущего года Департаментом общественных и внешних связей Югры).</w:t>
      </w:r>
      <w:proofErr w:type="gramEnd"/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right"/>
        <w:outlineLvl w:val="1"/>
      </w:pPr>
      <w:r>
        <w:t>Таблица 1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</w:pPr>
      <w:r>
        <w:t>Целевые показатели государственной программы</w:t>
      </w:r>
    </w:p>
    <w:p w:rsidR="00EB3305" w:rsidRDefault="00EB3305">
      <w:pPr>
        <w:pStyle w:val="ConsPlusNormal"/>
        <w:jc w:val="both"/>
      </w:pPr>
    </w:p>
    <w:p w:rsidR="00EB3305" w:rsidRDefault="00EB3305">
      <w:pPr>
        <w:sectPr w:rsidR="00EB3305" w:rsidSect="007B0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288"/>
        <w:gridCol w:w="1077"/>
        <w:gridCol w:w="907"/>
        <w:gridCol w:w="964"/>
        <w:gridCol w:w="964"/>
        <w:gridCol w:w="964"/>
        <w:gridCol w:w="964"/>
        <w:gridCol w:w="907"/>
        <w:gridCol w:w="907"/>
        <w:gridCol w:w="1134"/>
      </w:tblGrid>
      <w:tr w:rsidR="00EB3305">
        <w:tc>
          <w:tcPr>
            <w:tcW w:w="73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N показателя</w:t>
            </w:r>
          </w:p>
        </w:tc>
        <w:tc>
          <w:tcPr>
            <w:tcW w:w="3288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107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Базовый показатель на начало реализации государственной программы</w:t>
            </w:r>
          </w:p>
        </w:tc>
        <w:tc>
          <w:tcPr>
            <w:tcW w:w="6577" w:type="dxa"/>
            <w:gridSpan w:val="7"/>
          </w:tcPr>
          <w:p w:rsidR="00EB3305" w:rsidRDefault="00EB3305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  <w:tc>
          <w:tcPr>
            <w:tcW w:w="1134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Целевое значение показателя на момент окончания действия государственной программы</w:t>
            </w:r>
          </w:p>
        </w:tc>
      </w:tr>
      <w:tr w:rsidR="00EB3305">
        <w:tc>
          <w:tcPr>
            <w:tcW w:w="737" w:type="dxa"/>
            <w:vMerge/>
          </w:tcPr>
          <w:p w:rsidR="00EB3305" w:rsidRDefault="00EB3305"/>
        </w:tc>
        <w:tc>
          <w:tcPr>
            <w:tcW w:w="3288" w:type="dxa"/>
            <w:vMerge/>
          </w:tcPr>
          <w:p w:rsidR="00EB3305" w:rsidRDefault="00EB3305"/>
        </w:tc>
        <w:tc>
          <w:tcPr>
            <w:tcW w:w="1077" w:type="dxa"/>
            <w:vMerge/>
          </w:tcPr>
          <w:p w:rsidR="00EB3305" w:rsidRDefault="00EB3305"/>
        </w:tc>
        <w:tc>
          <w:tcPr>
            <w:tcW w:w="907" w:type="dxa"/>
          </w:tcPr>
          <w:p w:rsidR="00EB3305" w:rsidRDefault="00EB3305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64" w:type="dxa"/>
          </w:tcPr>
          <w:p w:rsidR="00EB3305" w:rsidRDefault="00EB3305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964" w:type="dxa"/>
          </w:tcPr>
          <w:p w:rsidR="00EB3305" w:rsidRDefault="00EB3305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964" w:type="dxa"/>
          </w:tcPr>
          <w:p w:rsidR="00EB3305" w:rsidRDefault="00EB3305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964" w:type="dxa"/>
          </w:tcPr>
          <w:p w:rsidR="00EB3305" w:rsidRDefault="00EB3305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907" w:type="dxa"/>
          </w:tcPr>
          <w:p w:rsidR="00EB3305" w:rsidRDefault="00EB3305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907" w:type="dxa"/>
          </w:tcPr>
          <w:p w:rsidR="00EB3305" w:rsidRDefault="00EB3305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134" w:type="dxa"/>
            <w:vMerge/>
          </w:tcPr>
          <w:p w:rsidR="00EB3305" w:rsidRDefault="00EB3305"/>
        </w:tc>
      </w:tr>
      <w:tr w:rsidR="00EB3305">
        <w:tc>
          <w:tcPr>
            <w:tcW w:w="737" w:type="dxa"/>
          </w:tcPr>
          <w:p w:rsidR="00EB3305" w:rsidRDefault="00EB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EB3305" w:rsidRDefault="00EB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B3305" w:rsidRDefault="00EB3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EB3305" w:rsidRDefault="00EB3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B3305" w:rsidRDefault="00EB33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B3305" w:rsidRDefault="00EB33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EB3305" w:rsidRDefault="00EB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EB3305" w:rsidRDefault="00EB33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EB3305" w:rsidRDefault="00EB3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B3305" w:rsidRDefault="00EB3305">
            <w:pPr>
              <w:pStyle w:val="ConsPlusNormal"/>
              <w:jc w:val="center"/>
            </w:pPr>
            <w:r>
              <w:t>11</w:t>
            </w:r>
          </w:p>
        </w:tc>
      </w:tr>
      <w:tr w:rsidR="00EB3305">
        <w:tc>
          <w:tcPr>
            <w:tcW w:w="737" w:type="dxa"/>
          </w:tcPr>
          <w:p w:rsidR="00EB3305" w:rsidRDefault="00EB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EB3305" w:rsidRDefault="00EB3305">
            <w:pPr>
              <w:pStyle w:val="ConsPlusNormal"/>
              <w:jc w:val="both"/>
            </w:pPr>
            <w:r>
              <w:t>Доля граждан, положительно оценивающих состояние межнациональных отношений в автономном округе, в общем количестве граждан, % &lt;*&gt; &lt;1&gt;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907" w:type="dxa"/>
          </w:tcPr>
          <w:p w:rsidR="00EB3305" w:rsidRDefault="00EB3305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964" w:type="dxa"/>
          </w:tcPr>
          <w:p w:rsidR="00EB3305" w:rsidRDefault="00EB3305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964" w:type="dxa"/>
          </w:tcPr>
          <w:p w:rsidR="00EB3305" w:rsidRDefault="00EB3305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964" w:type="dxa"/>
          </w:tcPr>
          <w:p w:rsidR="00EB3305" w:rsidRDefault="00EB3305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964" w:type="dxa"/>
          </w:tcPr>
          <w:p w:rsidR="00EB3305" w:rsidRDefault="00EB3305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907" w:type="dxa"/>
          </w:tcPr>
          <w:p w:rsidR="00EB3305" w:rsidRDefault="00EB33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</w:tcPr>
          <w:p w:rsidR="00EB3305" w:rsidRDefault="00EB3305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1134" w:type="dxa"/>
          </w:tcPr>
          <w:p w:rsidR="00EB3305" w:rsidRDefault="00EB3305">
            <w:pPr>
              <w:pStyle w:val="ConsPlusNormal"/>
              <w:jc w:val="center"/>
            </w:pPr>
            <w:r>
              <w:t>82,0</w:t>
            </w:r>
          </w:p>
        </w:tc>
      </w:tr>
      <w:tr w:rsidR="00EB3305">
        <w:tc>
          <w:tcPr>
            <w:tcW w:w="737" w:type="dxa"/>
          </w:tcPr>
          <w:p w:rsidR="00EB3305" w:rsidRDefault="00EB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EB3305" w:rsidRDefault="00EB3305">
            <w:pPr>
              <w:pStyle w:val="ConsPlusNormal"/>
              <w:jc w:val="both"/>
            </w:pPr>
            <w:r>
              <w:t>Численность участников мероприятий, направленных на этнокультурное развитие народов России, проживающих в автономном округе, тыс. человек &lt;*&gt; &lt;2&gt;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07" w:type="dxa"/>
          </w:tcPr>
          <w:p w:rsidR="00EB3305" w:rsidRDefault="00EB330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</w:tcPr>
          <w:p w:rsidR="00EB3305" w:rsidRDefault="00EB330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964" w:type="dxa"/>
          </w:tcPr>
          <w:p w:rsidR="00EB3305" w:rsidRDefault="00EB330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964" w:type="dxa"/>
          </w:tcPr>
          <w:p w:rsidR="00EB3305" w:rsidRDefault="00EB330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64" w:type="dxa"/>
          </w:tcPr>
          <w:p w:rsidR="00EB3305" w:rsidRDefault="00EB330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07" w:type="dxa"/>
          </w:tcPr>
          <w:p w:rsidR="00EB3305" w:rsidRDefault="00EB330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07" w:type="dxa"/>
          </w:tcPr>
          <w:p w:rsidR="00EB3305" w:rsidRDefault="00EB33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EB3305" w:rsidRDefault="00EB3305">
            <w:pPr>
              <w:pStyle w:val="ConsPlusNormal"/>
              <w:jc w:val="center"/>
            </w:pPr>
            <w:r>
              <w:t>5,5</w:t>
            </w:r>
          </w:p>
        </w:tc>
      </w:tr>
      <w:tr w:rsidR="00EB3305">
        <w:tc>
          <w:tcPr>
            <w:tcW w:w="737" w:type="dxa"/>
          </w:tcPr>
          <w:p w:rsidR="00EB3305" w:rsidRDefault="00EB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EB3305" w:rsidRDefault="00EB3305">
            <w:pPr>
              <w:pStyle w:val="ConsPlusNormal"/>
              <w:jc w:val="both"/>
            </w:pPr>
            <w:r>
              <w:t>Количество участников мероприятий, направленных на укрепление общероссийского гражданского единства, проживающих в автономном округе, тыс. человек &lt;*&gt; &lt;2&gt;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07" w:type="dxa"/>
          </w:tcPr>
          <w:p w:rsidR="00EB3305" w:rsidRDefault="00EB330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64" w:type="dxa"/>
          </w:tcPr>
          <w:p w:rsidR="00EB3305" w:rsidRDefault="00EB330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964" w:type="dxa"/>
          </w:tcPr>
          <w:p w:rsidR="00EB3305" w:rsidRDefault="00EB330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64" w:type="dxa"/>
          </w:tcPr>
          <w:p w:rsidR="00EB3305" w:rsidRDefault="00EB330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64" w:type="dxa"/>
          </w:tcPr>
          <w:p w:rsidR="00EB3305" w:rsidRDefault="00EB330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07" w:type="dxa"/>
          </w:tcPr>
          <w:p w:rsidR="00EB3305" w:rsidRDefault="00EB330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07" w:type="dxa"/>
          </w:tcPr>
          <w:p w:rsidR="00EB3305" w:rsidRDefault="00EB330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34" w:type="dxa"/>
          </w:tcPr>
          <w:p w:rsidR="00EB3305" w:rsidRDefault="00EB3305">
            <w:pPr>
              <w:pStyle w:val="ConsPlusNormal"/>
              <w:jc w:val="center"/>
            </w:pPr>
            <w:r>
              <w:t>7,0</w:t>
            </w:r>
          </w:p>
        </w:tc>
      </w:tr>
    </w:tbl>
    <w:p w:rsidR="00EB3305" w:rsidRDefault="00EB3305">
      <w:pPr>
        <w:sectPr w:rsidR="00EB33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>--------------------------------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&lt;1&gt; Показатель определяется путем усреднения значений, исчисляемых на основании социологических опросов, проводимых по репрезентативной выборке в автономном округе.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Промежуточные значения показателей по итогам опросов рассчитываются по общей формуле: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 w:rsidRPr="00C24273">
        <w:rPr>
          <w:position w:val="-32"/>
        </w:rPr>
        <w:pict>
          <v:shape id="_x0000_i1025" style="width:182.2pt;height:43.85pt" coordsize="" o:spt="100" adj="0,,0" path="" filled="f" stroked="f">
            <v:stroke joinstyle="miter"/>
            <v:imagedata r:id="rId19" o:title="base_24478_199307_32768"/>
            <v:formulas/>
            <v:path o:connecttype="segments"/>
          </v:shape>
        </w:pic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>Tk - значение показателя по результатам k-го социологического опроса, проведенного в отчетном году;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N1(k) - количество респондентов, выбравших вариант ответа: "Доброжелательные, способствующие общественному согласию", - на вопрос анкеты: "Каковы, на Ваш взгляд, отношения между людьми различных национальностей в автономном округе?" - в ходе проведения k-го социологического опроса;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N2(k) - количество респондентов, выбравших вариант ответа: "Нормальные, бесконфликтные" на вышеуказанный вопрос анкеты: в ходе проведения k-го социологического опроса;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N0(k) - общее число </w:t>
      </w:r>
      <w:proofErr w:type="gramStart"/>
      <w:r>
        <w:t>опрошенных</w:t>
      </w:r>
      <w:proofErr w:type="gramEnd"/>
      <w:r>
        <w:t xml:space="preserve"> в ходе проведения k-го социологического опроса.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Итоговое значение показателя за отчетный год формируется путем усреднения значений показателей по опросам, проведенным в течение текущего года.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Определение основных факторов и причин изменения значений показателя осуществляется в соответствии с глубинными (экспертными) интервью с субъектами профилактики экстремизма, а также субъектами реализации государственной национальной политики, представителями некоммерческих организаций автономного округа, осуществляющими деятельность в сфере государственной национальной политики, и групповых фокусированных интервью. Формирование вопросов анкеты экспертного интервью и алгоритма фокусированных групповых интервью осуществляется, исходя из выявленных проблемных вопросов по итогам двух этапов массового опроса населения автономного округа, проводимого методом личного интервью по месту жительства и/или методом телефонного опроса.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&lt;2&gt; Показатели рассчитываются исходя из ежегодных плановых значений аналогичных показателей государственной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Российской Федерации "Реализация государственной национальной политики" в пересчете на долю жителей автономного округа от численности населения Российской Федерации по следующей формуле: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>Si = (Ч</w:t>
      </w:r>
      <w:proofErr w:type="gramStart"/>
      <w:r>
        <w:t>j</w:t>
      </w:r>
      <w:proofErr w:type="gramEnd"/>
      <w:r>
        <w:t xml:space="preserve"> * SАО) / SРФ, где: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>Si - плановое значение показателя, тыс. человек;</w:t>
      </w:r>
    </w:p>
    <w:p w:rsidR="00EB3305" w:rsidRDefault="00EB3305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t>АО - численность населения автономного округа, тыс. человек;</w:t>
      </w:r>
    </w:p>
    <w:p w:rsidR="00EB3305" w:rsidRDefault="00EB3305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t>РФ - численность населения Российской Федерации, тыс. человек;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Ч</w:t>
      </w:r>
      <w:proofErr w:type="gramStart"/>
      <w:r>
        <w:t>j</w:t>
      </w:r>
      <w:proofErr w:type="gramEnd"/>
      <w:r>
        <w:t xml:space="preserve"> - плановое значение аналогичного показателя государственной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Российской Федерации "Реализация государственной национальной политики", утвержденной </w:t>
      </w:r>
      <w:r>
        <w:lastRenderedPageBreak/>
        <w:t xml:space="preserve">постановлением Правительства Российской Федерации от 29 декабря 2016 года N 1532, тыс. человек. Фактическое значение указанных показателей рассчитывается исходя </w:t>
      </w:r>
      <w:proofErr w:type="gramStart"/>
      <w:r>
        <w:t>из количества участников указанных мероприятий в течение года на основании представленных соисполнителями государственной программы отчетов о ходе реализации государственной программы в форме</w:t>
      </w:r>
      <w:proofErr w:type="gramEnd"/>
      <w:r>
        <w:t xml:space="preserve"> комплексного плана (сетевого графика) с нарастающим итогом.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&lt;*&gt; Показатель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Российской Федерации "Реализация государственной национальной политики", утвержденная постановлением Правительства Российской Федерации от 29 декабря 2016 года N 1532 (наличие показателей результативности использования субсидий, соответствующих целевым показателям и индикаторам государственных программ Российской Федерации, является основным условием предоставления субсидии из федерального бюджета).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right"/>
        <w:outlineLvl w:val="1"/>
      </w:pPr>
      <w:r>
        <w:t>Таблица 2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</w:pPr>
      <w:r>
        <w:t>Распределение финансовых ресурсов государственной программы</w:t>
      </w:r>
    </w:p>
    <w:p w:rsidR="00EB3305" w:rsidRDefault="00EB3305">
      <w:pPr>
        <w:pStyle w:val="ConsPlusNormal"/>
        <w:jc w:val="both"/>
      </w:pPr>
    </w:p>
    <w:p w:rsidR="00EB3305" w:rsidRDefault="00EB3305">
      <w:pPr>
        <w:sectPr w:rsidR="00EB33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324"/>
        <w:gridCol w:w="1757"/>
        <w:gridCol w:w="1771"/>
        <w:gridCol w:w="1191"/>
        <w:gridCol w:w="1077"/>
        <w:gridCol w:w="1077"/>
        <w:gridCol w:w="1077"/>
        <w:gridCol w:w="1077"/>
        <w:gridCol w:w="1020"/>
        <w:gridCol w:w="1077"/>
        <w:gridCol w:w="1077"/>
        <w:gridCol w:w="1172"/>
      </w:tblGrid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N основного мероприятия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Основные мероприятия государственной программы (связь мероприятий с показателями государственной программы)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Ответственный исполнитель/соисполнитель</w:t>
            </w:r>
          </w:p>
        </w:tc>
        <w:tc>
          <w:tcPr>
            <w:tcW w:w="1771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845" w:type="dxa"/>
            <w:gridSpan w:val="9"/>
          </w:tcPr>
          <w:p w:rsidR="00EB3305" w:rsidRDefault="00EB3305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  <w:vMerge/>
          </w:tcPr>
          <w:p w:rsidR="00EB3305" w:rsidRDefault="00EB3305"/>
        </w:tc>
        <w:tc>
          <w:tcPr>
            <w:tcW w:w="1191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54" w:type="dxa"/>
            <w:gridSpan w:val="8"/>
          </w:tcPr>
          <w:p w:rsidR="00EB3305" w:rsidRDefault="00EB3305">
            <w:pPr>
              <w:pStyle w:val="ConsPlusNormal"/>
              <w:jc w:val="center"/>
            </w:pPr>
            <w:r>
              <w:t>Проект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  <w:vMerge/>
          </w:tcPr>
          <w:p w:rsidR="00EB3305" w:rsidRDefault="00EB3305"/>
        </w:tc>
        <w:tc>
          <w:tcPr>
            <w:tcW w:w="1191" w:type="dxa"/>
            <w:vMerge/>
          </w:tcPr>
          <w:p w:rsidR="00EB3305" w:rsidRDefault="00EB3305"/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2026 - 2030 г.</w:t>
            </w:r>
          </w:p>
        </w:tc>
      </w:tr>
      <w:tr w:rsidR="00EB3305">
        <w:tc>
          <w:tcPr>
            <w:tcW w:w="907" w:type="dxa"/>
          </w:tcPr>
          <w:p w:rsidR="00EB3305" w:rsidRDefault="00EB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EB3305" w:rsidRDefault="00EB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EB3305" w:rsidRDefault="00EB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13</w:t>
            </w:r>
          </w:p>
        </w:tc>
      </w:tr>
      <w:tr w:rsidR="00EB3305">
        <w:tc>
          <w:tcPr>
            <w:tcW w:w="16604" w:type="dxa"/>
            <w:gridSpan w:val="13"/>
          </w:tcPr>
          <w:p w:rsidR="00EB3305" w:rsidRDefault="00EB3305">
            <w:pPr>
              <w:pStyle w:val="ConsPlusNormal"/>
              <w:jc w:val="center"/>
              <w:outlineLvl w:val="2"/>
            </w:pPr>
            <w:bookmarkStart w:id="1" w:name="P243"/>
            <w:bookmarkEnd w:id="1"/>
            <w:r>
              <w:t>Подпрограмма 1. Гармонизация межнациональных и межконфессиональных отношений</w:t>
            </w:r>
          </w:p>
        </w:tc>
      </w:tr>
      <w:tr w:rsidR="00EB3305">
        <w:tc>
          <w:tcPr>
            <w:tcW w:w="907" w:type="dxa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Государственно-общественное партнерство (предоставление субсидии для возмещения фактических затрат некоммерческим организациям, участвующим во всероссийских и региональных мероприятиях по реализации государственной национальной политики) (1, 2, 3)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Депполитики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4160,0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860,0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4160,0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860,0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16604" w:type="dxa"/>
            <w:gridSpan w:val="13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 xml:space="preserve">(п. 1.1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05.04.2019 N 111-п)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 xml:space="preserve">Проведение </w:t>
            </w:r>
            <w:r>
              <w:lastRenderedPageBreak/>
              <w:t>мероприятий по формированию общероссийской гражданской идентичности, приуроченных к празднованию государственных праздников (1, 2, 3)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lastRenderedPageBreak/>
              <w:t xml:space="preserve">Депсоцразвития </w:t>
            </w:r>
            <w:r>
              <w:lastRenderedPageBreak/>
              <w:t>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Депкультуры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9600,0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4000,0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9600,0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4000,0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 xml:space="preserve">Конкурс на получение премии "За вклад в развитие межэтнических отношений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</w:t>
            </w:r>
            <w:r>
              <w:lastRenderedPageBreak/>
              <w:t>Югре" (1)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lastRenderedPageBreak/>
              <w:t>Депкультуры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7500,0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7500,0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>Содействие религиозным организациям в культурно-просветительской и социально значимой деятельности (1)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9794,8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994,8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4000,0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194,8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194,8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9600,0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4000,0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>Поддержка и популяризация русского языка как государственного языка Российской Федерации и средства межнационального общения (1, 2)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Депкультуры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1250,0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1250,0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>Информационное обеспечение реализации государственной национальной политики (1, 2, 3)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Департамент общественных и внешних связей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21600,0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9000,0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21600,0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9000,0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>Конкурс на лучшие журналистские работы и проекты СМИ (1, 2, 3)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Департамент общественных и внешних связей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7500,0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7500,0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Форум национального единства (1, 2, 3)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Депкультуры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44553,4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8253,4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16500,0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803,4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43750,0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7450,0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16500,0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16604" w:type="dxa"/>
            <w:gridSpan w:val="13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 xml:space="preserve">(п. 1.8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03.10.2019 N 349-п)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>Проведение спортивных состязаний и спартакиад народов России, проживающих в автономном округе (1, 2, 3)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Депспорт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5000,0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5000,0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 xml:space="preserve">Обеспечение условий по реализации в муниципальных образованиях единой государственной политики в сфере межнациональных отношений и профилактики </w:t>
            </w:r>
            <w:r>
              <w:lastRenderedPageBreak/>
              <w:t>экстремизма (1, 2, 3)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lastRenderedPageBreak/>
              <w:t>Депполитики Югры, муниципальные образования автономного округа (по согласованию)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16195,8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2995,8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6000,0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14400,0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6000,0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1795,8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1795,8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>Проведение Всероссийской просветительской акции "Большой этнографический диктант" в автономном округе (1, 2, 3)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Депкультуры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>Создание условий для сохранения и развития языков народов России, проживающих в Югре (1, 2, 3)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9600,0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4000,0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9600,0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4000,0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170104,0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21054,0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13550,0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13550,0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13550,0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13550,0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13550,0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13550,0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67750,0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998,2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998,2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167310,0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18260,0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13550,0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13550,0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13550,0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13550,0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13550,0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13550,0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67750,0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1795,8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1795,8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16604" w:type="dxa"/>
            <w:gridSpan w:val="13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03.10.2019 N 349-п)</w:t>
            </w:r>
          </w:p>
        </w:tc>
      </w:tr>
      <w:tr w:rsidR="00EB3305">
        <w:tc>
          <w:tcPr>
            <w:tcW w:w="16604" w:type="dxa"/>
            <w:gridSpan w:val="13"/>
          </w:tcPr>
          <w:p w:rsidR="00EB3305" w:rsidRDefault="00EB3305">
            <w:pPr>
              <w:pStyle w:val="ConsPlusNormal"/>
              <w:jc w:val="center"/>
              <w:outlineLvl w:val="2"/>
            </w:pPr>
            <w:bookmarkStart w:id="2" w:name="P985"/>
            <w:bookmarkEnd w:id="2"/>
            <w:r>
              <w:t>Подпрограмма 2. Профилактика экстремизма, обеспечение гражданского единства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>Профилактика ксенофобии и экстремизма, подготовка кадров в сфере формирования установок толерантного сознания и межкультурного воспитания (1, 2, 3)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7500,0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7500,0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 xml:space="preserve">Конкурс проектов по формированию культуры </w:t>
            </w:r>
            <w:r>
              <w:lastRenderedPageBreak/>
              <w:t>толерантности, противодействию ксенофобии и профилактике экстремизма (1, 2, 3)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lastRenderedPageBreak/>
              <w:t>Депобразования и молодежи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5000,0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5000,0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>Развитие потенциала молодежи и его использование в интересах укрепления единства российской нации и профилактики экстремизма (проведение форумов, фестивалей, круглых столов) (1, 2, 3)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42600,0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17750,0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42600,0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17750,0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Создание условий для социальной и культурной адаптации мигрантов (1, 2, 3)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16922,0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7500,0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16922,0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7500,0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16604" w:type="dxa"/>
            <w:gridSpan w:val="13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 xml:space="preserve">(п. 2.4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03.10.2019 N 349-п)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>Повышение профессионального уровня специалистов по вопросам государственной национальной политики и профилактики экстремизма (1, 2)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Аппарат Губернатора автономного округа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450,0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450,0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>Информационное обеспечение реализации мероприятий по профилактике экстремизма (1, 2, 3)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Департамент общественных и внешних связей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9600,0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4000,0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9600,0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4000,0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Аппарат Губернатора автономного округа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450,0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1080,0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450,0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Региональный мониторинг состояния межнациональных и межконфессиональных отношений (1, 3)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Департамент общественных и внешних связей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69024,0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5752,0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5752,0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5752,0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5752,0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5752,0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5752,0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5752,0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28760,0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69024,0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5752,0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5752,0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5752,0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5752,0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5752,0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5752,0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5752,0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28760,0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>Департамент информационных технологий и цифрового развития автономного округа (далее - Депинформтехнологий Югры)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4200,0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1750,0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4200,0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1750,0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 xml:space="preserve">иные </w:t>
            </w:r>
            <w:r>
              <w:lastRenderedPageBreak/>
              <w:t>внебюджетные источники</w:t>
            </w:r>
          </w:p>
        </w:tc>
        <w:tc>
          <w:tcPr>
            <w:tcW w:w="1191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16604" w:type="dxa"/>
            <w:gridSpan w:val="13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lastRenderedPageBreak/>
              <w:t xml:space="preserve">(п. 2.7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05.04.2019 N 111-п)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>Повышение уровня компетенций представителей некоммерческих организаций и молодежных объединений в сфере реализации государственной национальной политики, профилактики экстремизма (1, 2, 3)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3500,0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3500,0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188906,0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14754,0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15832,0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15832,0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15832,0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15832,0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15832,0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15832,0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79160,0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188906,0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14754,0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15832,0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15832,0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15832,0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15832,0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15832,0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15832,0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79160,0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16604" w:type="dxa"/>
            <w:gridSpan w:val="13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03.10.2019 N 349-п)</w:t>
            </w:r>
          </w:p>
        </w:tc>
      </w:tr>
      <w:tr w:rsidR="00EB3305">
        <w:tc>
          <w:tcPr>
            <w:tcW w:w="16604" w:type="dxa"/>
            <w:gridSpan w:val="13"/>
          </w:tcPr>
          <w:p w:rsidR="00EB3305" w:rsidRDefault="00EB3305">
            <w:pPr>
              <w:pStyle w:val="ConsPlusNormal"/>
              <w:jc w:val="center"/>
              <w:outlineLvl w:val="2"/>
            </w:pPr>
            <w:bookmarkStart w:id="3" w:name="P1668"/>
            <w:bookmarkEnd w:id="3"/>
            <w:r>
              <w:lastRenderedPageBreak/>
              <w:t>Подпрограмма 3. Развитие российского казачества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>Субсидии казачьим обществам на возмещение расходов, связанных с реализацией договоров (соглашений) с органами государственной власти (3)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Депнедра и природных ресурсов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2500,0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2500,0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Природнадзор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5940,0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2475,0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5940,0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2475,0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 xml:space="preserve">Департамент гражданской защиты </w:t>
            </w:r>
            <w:r>
              <w:lastRenderedPageBreak/>
              <w:t>населения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47320,8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3943,4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3943,4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3943,4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3943,4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3943,4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3943,4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3943,4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19717,0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47320,8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3943,4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3943,4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3943,4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3943,4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3943,4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3943,4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3943,4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19717,0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>Подготовка и обучение членов казачьих обще</w:t>
            </w:r>
            <w:proofErr w:type="gramStart"/>
            <w:r>
              <w:t>ств дл</w:t>
            </w:r>
            <w:proofErr w:type="gramEnd"/>
            <w:r>
              <w:t>я оказания содействия органам государственной власти в осуществлении установленных полномочий (3)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Департамент гражданской защиты населения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400,0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400,0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 xml:space="preserve">Предоставление субсидии на возмещение фактических затрат казачьим обществам, участвующим в региональных, федеральных и международных </w:t>
            </w:r>
            <w:r>
              <w:lastRenderedPageBreak/>
              <w:t>мероприятиях по вопросам развития российского казачества (3)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lastRenderedPageBreak/>
              <w:t>Депполитики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4380,0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1825,0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4380,0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1825,0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>Проведение фестивалей, праздничных концертов казачьих ансамблей, конференций, экспозиций, выставок, направленных на сохранение и развитие культуры, исторических традиций и обычаев российского казачества (1, 2, 3)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Депкультуры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2500,0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2500,0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>Субсидии казачьим обществам на осуществление деятельности по развитию и сохранению самобытной культуры российского казачества и военно-патриотическому воспитанию молодежи (2)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Депполитики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5000,0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5000,0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2324" w:type="dxa"/>
            <w:vMerge w:val="restart"/>
          </w:tcPr>
          <w:p w:rsidR="00EB3305" w:rsidRDefault="00EB3305">
            <w:pPr>
              <w:pStyle w:val="ConsPlusNormal"/>
            </w:pPr>
            <w:r>
              <w:t>Информационная поддержка возрождения культуры, традиций и обычаев казачьих обществ (1, 2)</w:t>
            </w:r>
          </w:p>
        </w:tc>
        <w:tc>
          <w:tcPr>
            <w:tcW w:w="1757" w:type="dxa"/>
            <w:vMerge w:val="restart"/>
          </w:tcPr>
          <w:p w:rsidR="00EB3305" w:rsidRDefault="00EB3305">
            <w:pPr>
              <w:pStyle w:val="ConsPlusNormal"/>
            </w:pPr>
            <w:r>
              <w:t>Департамент общественных и внешних связей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2500,0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2500,0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</w:tcPr>
          <w:p w:rsidR="00EB3305" w:rsidRDefault="00EB3305"/>
        </w:tc>
        <w:tc>
          <w:tcPr>
            <w:tcW w:w="2324" w:type="dxa"/>
            <w:vMerge/>
          </w:tcPr>
          <w:p w:rsidR="00EB3305" w:rsidRDefault="00EB3305"/>
        </w:tc>
        <w:tc>
          <w:tcPr>
            <w:tcW w:w="1757" w:type="dxa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Военно-патриотическое, духовно-нравственное и физическое воспитание казачьей молодежи (1, 3)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40577,3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4827,3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3250,0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3250,0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3250,0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3250,0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3250,0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3250,0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16250,0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40577,3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4827,3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3250,0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3250,0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3250,0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3250,0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3250,0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3250,0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16250,0</w:t>
            </w:r>
          </w:p>
        </w:tc>
      </w:tr>
      <w:tr w:rsidR="00EB3305"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324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57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16604" w:type="dxa"/>
            <w:gridSpan w:val="13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 xml:space="preserve">(п. 3.7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03.10.2019 N 349-п)</w:t>
            </w:r>
          </w:p>
        </w:tc>
      </w:tr>
      <w:tr w:rsidR="00EB3305">
        <w:tc>
          <w:tcPr>
            <w:tcW w:w="4988" w:type="dxa"/>
            <w:gridSpan w:val="3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129178,1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12210,7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10633,4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10633,4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10633,4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10633,4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10633,4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10633,4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53167,0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129178,1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12210,7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10633,4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10633,4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10633,4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10633,4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10633,4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10633,4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53167,0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16604" w:type="dxa"/>
            <w:gridSpan w:val="13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03.10.2019 N 349-п)</w:t>
            </w:r>
          </w:p>
        </w:tc>
      </w:tr>
      <w:tr w:rsidR="00EB3305">
        <w:tc>
          <w:tcPr>
            <w:tcW w:w="4988" w:type="dxa"/>
            <w:gridSpan w:val="3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</w:pPr>
            <w:r>
              <w:t>488188,1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48018,7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200077,0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</w:pPr>
            <w:r>
              <w:t>998,2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998,2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</w:pPr>
            <w:r>
              <w:t>485394,1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45224,7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200077,0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</w:pPr>
            <w:r>
              <w:t>1795,8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1795,8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16604" w:type="dxa"/>
            <w:gridSpan w:val="13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03.10.2019 N 349-п)</w:t>
            </w:r>
          </w:p>
        </w:tc>
      </w:tr>
      <w:tr w:rsidR="00EB3305">
        <w:tc>
          <w:tcPr>
            <w:tcW w:w="4988" w:type="dxa"/>
            <w:gridSpan w:val="3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Инвестиции в объекты государственной и муниципальной собственности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16604" w:type="dxa"/>
            <w:gridSpan w:val="13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05.04.2019 N 111-п)</w:t>
            </w:r>
          </w:p>
        </w:tc>
      </w:tr>
      <w:tr w:rsidR="00EB3305">
        <w:tc>
          <w:tcPr>
            <w:tcW w:w="4988" w:type="dxa"/>
            <w:gridSpan w:val="3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Прочие расходы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488188,1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48018,7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200077,0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998,2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998,2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485394,1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45224,7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40015,4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200077,0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1795,8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1795,8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16604" w:type="dxa"/>
            <w:gridSpan w:val="13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03.10.2019 N 349-п)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4988" w:type="dxa"/>
            <w:gridSpan w:val="3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В том числе:</w:t>
            </w:r>
          </w:p>
        </w:tc>
        <w:tc>
          <w:tcPr>
            <w:tcW w:w="1771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  <w:tc>
          <w:tcPr>
            <w:tcW w:w="1172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</w:tr>
      <w:tr w:rsidR="00EB3305">
        <w:tblPrEx>
          <w:tblBorders>
            <w:insideH w:val="nil"/>
          </w:tblBorders>
        </w:tblPrEx>
        <w:tc>
          <w:tcPr>
            <w:tcW w:w="16604" w:type="dxa"/>
            <w:gridSpan w:val="13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05.04.2019 N 111-п)</w:t>
            </w:r>
          </w:p>
        </w:tc>
      </w:tr>
      <w:tr w:rsidR="00EB3305">
        <w:tc>
          <w:tcPr>
            <w:tcW w:w="4988" w:type="dxa"/>
            <w:gridSpan w:val="3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Депполитики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20540,0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2225,0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1665,0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1665,0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1665,0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1665,0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1665,0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1665,0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8325,0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20540,0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2225,0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1665,0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1665,0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1665,0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1665,0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1665,0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1665,0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8325,0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16604" w:type="dxa"/>
            <w:gridSpan w:val="13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05.04.2019 N 111-п)</w:t>
            </w:r>
          </w:p>
        </w:tc>
      </w:tr>
      <w:tr w:rsidR="00EB3305">
        <w:tc>
          <w:tcPr>
            <w:tcW w:w="4988" w:type="dxa"/>
            <w:gridSpan w:val="3"/>
            <w:vMerge w:val="restart"/>
          </w:tcPr>
          <w:p w:rsidR="00EB3305" w:rsidRDefault="00EB3305">
            <w:pPr>
              <w:pStyle w:val="ConsPlusNormal"/>
            </w:pPr>
            <w:r>
              <w:t>Аппарат Губернатора автономного округа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2160,0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900,0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2160,0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900,0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 w:val="restart"/>
          </w:tcPr>
          <w:p w:rsidR="00EB3305" w:rsidRDefault="00EB3305">
            <w:pPr>
              <w:pStyle w:val="ConsPlusNormal"/>
            </w:pPr>
            <w:r>
              <w:t>Департамент гражданской защиты населения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48280,8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4023,4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4023,4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4023,4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4023,4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4023,4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4023,4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4023,4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20117,0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48280,8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4023,4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4023,4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4023,4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4023,4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4023,4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4023,4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4023,4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20117,0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Депкультуры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82353,4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11403,4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6450,0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6450,0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6450,0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6450,0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6450,0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6450,0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32250,0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803,4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803,4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81550,0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10600,0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6450,0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6450,0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6450,0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6450,0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6450,0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6450,0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32250,0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16604" w:type="dxa"/>
            <w:gridSpan w:val="13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03.10.2019 N 349-п)</w:t>
            </w:r>
          </w:p>
        </w:tc>
      </w:tr>
      <w:tr w:rsidR="00EB3305">
        <w:tc>
          <w:tcPr>
            <w:tcW w:w="4988" w:type="dxa"/>
            <w:gridSpan w:val="3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146972,1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13872,1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12100,0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12100,0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12100,0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12100,0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12100,0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12100,0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60500,0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194,8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194,8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146777,3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13677,3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12100,0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12100,0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12100,0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12100,0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12100,0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12100,0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60500,0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16604" w:type="dxa"/>
            <w:gridSpan w:val="13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03.10.2019 N 349-п)</w:t>
            </w:r>
          </w:p>
        </w:tc>
      </w:tr>
      <w:tr w:rsidR="00EB3305">
        <w:tc>
          <w:tcPr>
            <w:tcW w:w="4988" w:type="dxa"/>
            <w:gridSpan w:val="3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Департамент общественных и внешних связей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124224,0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10352,0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10352,0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10352,0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10352,0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10352,0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10352,0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10352,0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51760,0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124224,0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10352,0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10352,0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10352,0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10352,0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10352,0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10352,0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10352,0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51760,0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16604" w:type="dxa"/>
            <w:gridSpan w:val="13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05.04.2019 N 111-п)</w:t>
            </w:r>
          </w:p>
        </w:tc>
      </w:tr>
      <w:tr w:rsidR="00EB3305">
        <w:tc>
          <w:tcPr>
            <w:tcW w:w="4988" w:type="dxa"/>
            <w:gridSpan w:val="3"/>
            <w:vMerge w:val="restart"/>
          </w:tcPr>
          <w:p w:rsidR="00EB3305" w:rsidRDefault="00EB3305">
            <w:pPr>
              <w:pStyle w:val="ConsPlusNormal"/>
            </w:pPr>
            <w:r>
              <w:t>Депнедра и природных ресурсов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2500,0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2500,0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16922,0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7500,0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16922,0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7500,0</w:t>
            </w:r>
          </w:p>
        </w:tc>
      </w:tr>
      <w:tr w:rsidR="00EB3305"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4988" w:type="dxa"/>
            <w:gridSpan w:val="3"/>
            <w:vMerge/>
            <w:tcBorders>
              <w:bottom w:val="nil"/>
            </w:tcBorders>
          </w:tcPr>
          <w:p w:rsidR="00EB3305" w:rsidRDefault="00EB3305"/>
        </w:tc>
        <w:tc>
          <w:tcPr>
            <w:tcW w:w="1771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16604" w:type="dxa"/>
            <w:gridSpan w:val="13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03.10.2019 N 349-п)</w:t>
            </w:r>
          </w:p>
        </w:tc>
      </w:tr>
      <w:tr w:rsidR="00EB3305">
        <w:tc>
          <w:tcPr>
            <w:tcW w:w="4988" w:type="dxa"/>
            <w:gridSpan w:val="3"/>
            <w:vMerge w:val="restart"/>
          </w:tcPr>
          <w:p w:rsidR="00EB3305" w:rsidRDefault="00EB3305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 w:val="restart"/>
          </w:tcPr>
          <w:p w:rsidR="00EB3305" w:rsidRDefault="00EB3305">
            <w:pPr>
              <w:pStyle w:val="ConsPlusNormal"/>
            </w:pPr>
            <w:r>
              <w:t>Депспорт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5000,0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12000,0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5000,0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 w:val="restart"/>
          </w:tcPr>
          <w:p w:rsidR="00EB3305" w:rsidRDefault="00EB3305">
            <w:pPr>
              <w:pStyle w:val="ConsPlusNormal"/>
              <w:jc w:val="both"/>
            </w:pPr>
            <w:r>
              <w:t>Депинформтехнологий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4200,0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1750,0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4200,0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1750,0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 w:val="restart"/>
          </w:tcPr>
          <w:p w:rsidR="00EB3305" w:rsidRDefault="00EB3305">
            <w:pPr>
              <w:pStyle w:val="ConsPlusNormal"/>
            </w:pPr>
            <w:r>
              <w:t>Природнадзор Югры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5940,0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2475,0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5940,0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2475,0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 xml:space="preserve">иные </w:t>
            </w:r>
            <w:r>
              <w:lastRenderedPageBreak/>
              <w:t>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 w:val="restart"/>
          </w:tcPr>
          <w:p w:rsidR="00EB3305" w:rsidRDefault="00EB3305">
            <w:pPr>
              <w:pStyle w:val="ConsPlusNormal"/>
            </w:pPr>
            <w:r>
              <w:lastRenderedPageBreak/>
              <w:t>Депполитики Югры, муниципальные образования автономного округа</w:t>
            </w:r>
          </w:p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16195,8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2995,8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6000,0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14400,0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6000,0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1795,8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1795,8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  <w:tr w:rsidR="00EB3305">
        <w:tc>
          <w:tcPr>
            <w:tcW w:w="4988" w:type="dxa"/>
            <w:gridSpan w:val="3"/>
            <w:vMerge/>
          </w:tcPr>
          <w:p w:rsidR="00EB3305" w:rsidRDefault="00EB3305"/>
        </w:tc>
        <w:tc>
          <w:tcPr>
            <w:tcW w:w="1771" w:type="dxa"/>
          </w:tcPr>
          <w:p w:rsidR="00EB3305" w:rsidRDefault="00EB330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191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2" w:type="dxa"/>
          </w:tcPr>
          <w:p w:rsidR="00EB3305" w:rsidRDefault="00EB3305">
            <w:pPr>
              <w:pStyle w:val="ConsPlusNormal"/>
              <w:jc w:val="center"/>
            </w:pPr>
            <w:r>
              <w:t>0,0</w:t>
            </w:r>
          </w:p>
        </w:tc>
      </w:tr>
    </w:tbl>
    <w:p w:rsidR="00EB3305" w:rsidRDefault="00EB3305">
      <w:pPr>
        <w:sectPr w:rsidR="00EB33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right"/>
        <w:outlineLvl w:val="1"/>
      </w:pPr>
      <w:r>
        <w:t>Таблица 3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</w:pPr>
      <w:r>
        <w:t>Сводные показатели государственных заданий</w:t>
      </w:r>
    </w:p>
    <w:p w:rsidR="00EB3305" w:rsidRDefault="00EB3305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EB3305" w:rsidRDefault="00EB3305">
      <w:pPr>
        <w:pStyle w:val="ConsPlusNormal"/>
        <w:jc w:val="center"/>
      </w:pPr>
      <w:r>
        <w:t>от 05.04.2019 N 111-п)</w:t>
      </w:r>
    </w:p>
    <w:p w:rsidR="00EB3305" w:rsidRDefault="00EB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211"/>
        <w:gridCol w:w="904"/>
        <w:gridCol w:w="904"/>
        <w:gridCol w:w="904"/>
        <w:gridCol w:w="904"/>
        <w:gridCol w:w="904"/>
        <w:gridCol w:w="904"/>
        <w:gridCol w:w="904"/>
        <w:gridCol w:w="1849"/>
      </w:tblGrid>
      <w:tr w:rsidR="00EB3305">
        <w:tc>
          <w:tcPr>
            <w:tcW w:w="709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Наименование государственных услуг (работ)</w:t>
            </w:r>
          </w:p>
        </w:tc>
        <w:tc>
          <w:tcPr>
            <w:tcW w:w="2211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Наименование показателя объема (единицы измерения) государственных услуг (работ)</w:t>
            </w:r>
          </w:p>
        </w:tc>
        <w:tc>
          <w:tcPr>
            <w:tcW w:w="6328" w:type="dxa"/>
            <w:gridSpan w:val="7"/>
          </w:tcPr>
          <w:p w:rsidR="00EB3305" w:rsidRDefault="00EB3305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849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Значение показателя на момент окончания реализации государственной программы</w:t>
            </w:r>
          </w:p>
        </w:tc>
      </w:tr>
      <w:tr w:rsidR="00EB3305">
        <w:tc>
          <w:tcPr>
            <w:tcW w:w="709" w:type="dxa"/>
            <w:vMerge/>
          </w:tcPr>
          <w:p w:rsidR="00EB3305" w:rsidRDefault="00EB3305"/>
        </w:tc>
        <w:tc>
          <w:tcPr>
            <w:tcW w:w="2268" w:type="dxa"/>
            <w:vMerge/>
          </w:tcPr>
          <w:p w:rsidR="00EB3305" w:rsidRDefault="00EB3305"/>
        </w:tc>
        <w:tc>
          <w:tcPr>
            <w:tcW w:w="2211" w:type="dxa"/>
            <w:vMerge/>
          </w:tcPr>
          <w:p w:rsidR="00EB3305" w:rsidRDefault="00EB3305"/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849" w:type="dxa"/>
            <w:vMerge/>
          </w:tcPr>
          <w:p w:rsidR="00EB3305" w:rsidRDefault="00EB3305"/>
        </w:tc>
      </w:tr>
      <w:tr w:rsidR="00EB3305">
        <w:tc>
          <w:tcPr>
            <w:tcW w:w="709" w:type="dxa"/>
          </w:tcPr>
          <w:p w:rsidR="00EB3305" w:rsidRDefault="00EB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B3305" w:rsidRDefault="00EB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EB3305" w:rsidRDefault="00EB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9" w:type="dxa"/>
          </w:tcPr>
          <w:p w:rsidR="00EB3305" w:rsidRDefault="00EB3305">
            <w:pPr>
              <w:pStyle w:val="ConsPlusNormal"/>
              <w:jc w:val="center"/>
            </w:pPr>
            <w:r>
              <w:t>11</w:t>
            </w:r>
          </w:p>
        </w:tc>
      </w:tr>
      <w:tr w:rsidR="00EB3305">
        <w:tc>
          <w:tcPr>
            <w:tcW w:w="709" w:type="dxa"/>
          </w:tcPr>
          <w:p w:rsidR="00EB3305" w:rsidRDefault="00EB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B3305" w:rsidRDefault="00EB3305">
            <w:pPr>
              <w:pStyle w:val="ConsPlusNormal"/>
            </w:pPr>
            <w:r>
              <w:t>Организация проведения общественно значимых мероприятий в сфере образования, науки и молодежной политики</w:t>
            </w:r>
          </w:p>
        </w:tc>
        <w:tc>
          <w:tcPr>
            <w:tcW w:w="2211" w:type="dxa"/>
          </w:tcPr>
          <w:p w:rsidR="00EB3305" w:rsidRDefault="00EB3305">
            <w:pPr>
              <w:pStyle w:val="ConsPlusNormal"/>
            </w:pPr>
            <w:r>
              <w:t>количество мероприятий, единица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EB3305" w:rsidRDefault="00EB3305">
            <w:pPr>
              <w:pStyle w:val="ConsPlusNormal"/>
              <w:jc w:val="center"/>
            </w:pPr>
            <w:r>
              <w:t>1</w:t>
            </w:r>
          </w:p>
        </w:tc>
      </w:tr>
      <w:tr w:rsidR="00EB3305">
        <w:tc>
          <w:tcPr>
            <w:tcW w:w="709" w:type="dxa"/>
          </w:tcPr>
          <w:p w:rsidR="00EB3305" w:rsidRDefault="00EB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B3305" w:rsidRDefault="00EB3305">
            <w:pPr>
              <w:pStyle w:val="ConsPlusNormal"/>
            </w:pPr>
            <w:r>
              <w:t>Организация и проведение официальных спортивных мероприятий</w:t>
            </w:r>
          </w:p>
        </w:tc>
        <w:tc>
          <w:tcPr>
            <w:tcW w:w="2211" w:type="dxa"/>
          </w:tcPr>
          <w:p w:rsidR="00EB3305" w:rsidRDefault="00EB3305">
            <w:pPr>
              <w:pStyle w:val="ConsPlusNormal"/>
            </w:pPr>
            <w:r>
              <w:t>количество мероприятий, единица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EB3305" w:rsidRDefault="00EB3305">
            <w:pPr>
              <w:pStyle w:val="ConsPlusNormal"/>
              <w:jc w:val="center"/>
            </w:pPr>
            <w:r>
              <w:t>8</w:t>
            </w:r>
          </w:p>
        </w:tc>
      </w:tr>
      <w:tr w:rsidR="00EB3305">
        <w:tc>
          <w:tcPr>
            <w:tcW w:w="709" w:type="dxa"/>
          </w:tcPr>
          <w:p w:rsidR="00EB3305" w:rsidRDefault="00EB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EB3305" w:rsidRDefault="00EB3305">
            <w:pPr>
              <w:pStyle w:val="ConsPlusNormal"/>
            </w:pPr>
            <w:r>
              <w:t xml:space="preserve">Освещение и обеспечение </w:t>
            </w:r>
            <w:r>
              <w:lastRenderedPageBreak/>
              <w:t>проведения мероприятий в сфере деятельности средств массовой информации (далее - СМИ)</w:t>
            </w:r>
          </w:p>
        </w:tc>
        <w:tc>
          <w:tcPr>
            <w:tcW w:w="2211" w:type="dxa"/>
          </w:tcPr>
          <w:p w:rsidR="00EB3305" w:rsidRDefault="00EB3305">
            <w:pPr>
              <w:pStyle w:val="ConsPlusNormal"/>
            </w:pPr>
            <w:r>
              <w:lastRenderedPageBreak/>
              <w:t xml:space="preserve">количество проведенных </w:t>
            </w:r>
            <w:r>
              <w:lastRenderedPageBreak/>
              <w:t>мероприятий, единица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EB3305" w:rsidRDefault="00EB3305">
            <w:pPr>
              <w:pStyle w:val="ConsPlusNormal"/>
              <w:jc w:val="center"/>
            </w:pPr>
            <w:r>
              <w:t>3</w:t>
            </w:r>
          </w:p>
        </w:tc>
      </w:tr>
      <w:tr w:rsidR="00EB3305">
        <w:tc>
          <w:tcPr>
            <w:tcW w:w="709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EB3305" w:rsidRDefault="00EB3305">
            <w:pPr>
              <w:pStyle w:val="ConsPlusNormal"/>
            </w:pPr>
            <w:r>
              <w:t>Ведение информационных ресурсов и баз данных</w:t>
            </w:r>
          </w:p>
        </w:tc>
        <w:tc>
          <w:tcPr>
            <w:tcW w:w="2211" w:type="dxa"/>
          </w:tcPr>
          <w:p w:rsidR="00EB3305" w:rsidRDefault="00EB3305">
            <w:pPr>
              <w:pStyle w:val="ConsPlusNormal"/>
            </w:pPr>
            <w:r>
              <w:t>количество записей, единица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49" w:type="dxa"/>
          </w:tcPr>
          <w:p w:rsidR="00EB3305" w:rsidRDefault="00EB3305">
            <w:pPr>
              <w:pStyle w:val="ConsPlusNormal"/>
              <w:jc w:val="center"/>
            </w:pPr>
            <w:r>
              <w:t>69</w:t>
            </w:r>
          </w:p>
        </w:tc>
      </w:tr>
      <w:tr w:rsidR="00EB3305">
        <w:tc>
          <w:tcPr>
            <w:tcW w:w="709" w:type="dxa"/>
          </w:tcPr>
          <w:p w:rsidR="00EB3305" w:rsidRDefault="00EB3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EB3305" w:rsidRDefault="00EB3305">
            <w:pPr>
              <w:pStyle w:val="ConsPlusNormal"/>
            </w:pPr>
            <w:r>
              <w:t>Осуществление издательской деятельности (газеты)</w:t>
            </w:r>
          </w:p>
        </w:tc>
        <w:tc>
          <w:tcPr>
            <w:tcW w:w="2211" w:type="dxa"/>
          </w:tcPr>
          <w:p w:rsidR="00EB3305" w:rsidRDefault="00EB3305">
            <w:pPr>
              <w:pStyle w:val="ConsPlusNormal"/>
            </w:pPr>
            <w:r>
              <w:t>объем тиража, кв. см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</w:pPr>
            <w:r>
              <w:t>15856,2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</w:pPr>
            <w:r>
              <w:t>15856,2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</w:pPr>
            <w:r>
              <w:t>15856,2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</w:pPr>
            <w:r>
              <w:t>15856,2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</w:pPr>
            <w:r>
              <w:t>15856,2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</w:pPr>
            <w:r>
              <w:t>15856,2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</w:pPr>
            <w:r>
              <w:t>15856,2</w:t>
            </w:r>
          </w:p>
        </w:tc>
        <w:tc>
          <w:tcPr>
            <w:tcW w:w="1849" w:type="dxa"/>
          </w:tcPr>
          <w:p w:rsidR="00EB3305" w:rsidRDefault="00EB3305">
            <w:pPr>
              <w:pStyle w:val="ConsPlusNormal"/>
              <w:jc w:val="center"/>
            </w:pPr>
            <w:r>
              <w:t>15856,2</w:t>
            </w:r>
          </w:p>
        </w:tc>
      </w:tr>
      <w:tr w:rsidR="00EB3305">
        <w:tc>
          <w:tcPr>
            <w:tcW w:w="709" w:type="dxa"/>
          </w:tcPr>
          <w:p w:rsidR="00EB3305" w:rsidRDefault="00EB33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EB3305" w:rsidRDefault="00EB3305">
            <w:pPr>
              <w:pStyle w:val="ConsPlusNormal"/>
            </w:pPr>
            <w:r>
              <w:t>Осуществление издательской деятельности (иные печатные периодические издания)</w:t>
            </w:r>
          </w:p>
        </w:tc>
        <w:tc>
          <w:tcPr>
            <w:tcW w:w="2211" w:type="dxa"/>
          </w:tcPr>
          <w:p w:rsidR="00EB3305" w:rsidRDefault="00EB3305">
            <w:pPr>
              <w:pStyle w:val="ConsPlusNormal"/>
            </w:pPr>
            <w:r>
              <w:t>объем тиража, штука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49" w:type="dxa"/>
          </w:tcPr>
          <w:p w:rsidR="00EB3305" w:rsidRDefault="00EB3305">
            <w:pPr>
              <w:pStyle w:val="ConsPlusNormal"/>
              <w:jc w:val="center"/>
            </w:pPr>
            <w:r>
              <w:t>700</w:t>
            </w:r>
          </w:p>
        </w:tc>
      </w:tr>
      <w:tr w:rsidR="00EB3305">
        <w:tc>
          <w:tcPr>
            <w:tcW w:w="709" w:type="dxa"/>
          </w:tcPr>
          <w:p w:rsidR="00EB3305" w:rsidRDefault="00EB33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EB3305" w:rsidRDefault="00EB3305">
            <w:pPr>
              <w:pStyle w:val="ConsPlusNormal"/>
            </w:pPr>
            <w:r>
              <w:t>Производство и распространение телепрограмм</w:t>
            </w:r>
          </w:p>
        </w:tc>
        <w:tc>
          <w:tcPr>
            <w:tcW w:w="2211" w:type="dxa"/>
          </w:tcPr>
          <w:p w:rsidR="00EB3305" w:rsidRDefault="00EB3305">
            <w:pPr>
              <w:pStyle w:val="ConsPlusNormal"/>
            </w:pPr>
            <w:r>
              <w:t>время вещания в эфире, минута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EB3305" w:rsidRDefault="00EB3305">
            <w:pPr>
              <w:pStyle w:val="ConsPlusNormal"/>
              <w:jc w:val="center"/>
            </w:pPr>
            <w:r>
              <w:t>8</w:t>
            </w:r>
          </w:p>
        </w:tc>
      </w:tr>
      <w:tr w:rsidR="00EB3305">
        <w:tc>
          <w:tcPr>
            <w:tcW w:w="709" w:type="dxa"/>
          </w:tcPr>
          <w:p w:rsidR="00EB3305" w:rsidRDefault="00EB3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EB3305" w:rsidRDefault="00EB3305">
            <w:pPr>
              <w:pStyle w:val="ConsPlusNormal"/>
            </w:pPr>
            <w:r>
              <w:t>Создание и развитие (модернизация)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2211" w:type="dxa"/>
          </w:tcPr>
          <w:p w:rsidR="00EB3305" w:rsidRDefault="00EB3305">
            <w:pPr>
              <w:pStyle w:val="ConsPlusNormal"/>
            </w:pPr>
          </w:p>
        </w:tc>
        <w:tc>
          <w:tcPr>
            <w:tcW w:w="904" w:type="dxa"/>
          </w:tcPr>
          <w:p w:rsidR="00EB3305" w:rsidRDefault="00EB3305">
            <w:pPr>
              <w:pStyle w:val="ConsPlusNormal"/>
            </w:pPr>
          </w:p>
        </w:tc>
        <w:tc>
          <w:tcPr>
            <w:tcW w:w="904" w:type="dxa"/>
          </w:tcPr>
          <w:p w:rsidR="00EB3305" w:rsidRDefault="00EB3305">
            <w:pPr>
              <w:pStyle w:val="ConsPlusNormal"/>
            </w:pPr>
          </w:p>
        </w:tc>
        <w:tc>
          <w:tcPr>
            <w:tcW w:w="904" w:type="dxa"/>
          </w:tcPr>
          <w:p w:rsidR="00EB3305" w:rsidRDefault="00EB3305">
            <w:pPr>
              <w:pStyle w:val="ConsPlusNormal"/>
            </w:pPr>
          </w:p>
        </w:tc>
        <w:tc>
          <w:tcPr>
            <w:tcW w:w="904" w:type="dxa"/>
          </w:tcPr>
          <w:p w:rsidR="00EB3305" w:rsidRDefault="00EB3305">
            <w:pPr>
              <w:pStyle w:val="ConsPlusNormal"/>
            </w:pPr>
          </w:p>
        </w:tc>
        <w:tc>
          <w:tcPr>
            <w:tcW w:w="904" w:type="dxa"/>
          </w:tcPr>
          <w:p w:rsidR="00EB3305" w:rsidRDefault="00EB3305">
            <w:pPr>
              <w:pStyle w:val="ConsPlusNormal"/>
            </w:pPr>
          </w:p>
        </w:tc>
        <w:tc>
          <w:tcPr>
            <w:tcW w:w="904" w:type="dxa"/>
          </w:tcPr>
          <w:p w:rsidR="00EB3305" w:rsidRDefault="00EB3305">
            <w:pPr>
              <w:pStyle w:val="ConsPlusNormal"/>
            </w:pPr>
          </w:p>
        </w:tc>
        <w:tc>
          <w:tcPr>
            <w:tcW w:w="904" w:type="dxa"/>
          </w:tcPr>
          <w:p w:rsidR="00EB3305" w:rsidRDefault="00EB3305">
            <w:pPr>
              <w:pStyle w:val="ConsPlusNormal"/>
            </w:pPr>
          </w:p>
        </w:tc>
        <w:tc>
          <w:tcPr>
            <w:tcW w:w="1849" w:type="dxa"/>
          </w:tcPr>
          <w:p w:rsidR="00EB3305" w:rsidRDefault="00EB3305">
            <w:pPr>
              <w:pStyle w:val="ConsPlusNormal"/>
            </w:pPr>
          </w:p>
        </w:tc>
      </w:tr>
      <w:tr w:rsidR="00EB3305">
        <w:tc>
          <w:tcPr>
            <w:tcW w:w="709" w:type="dxa"/>
          </w:tcPr>
          <w:p w:rsidR="00EB3305" w:rsidRDefault="00EB33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EB3305" w:rsidRDefault="00EB3305">
            <w:pPr>
              <w:pStyle w:val="ConsPlusNormal"/>
            </w:pPr>
            <w:r>
              <w:t xml:space="preserve">Организация и </w:t>
            </w:r>
            <w:r>
              <w:lastRenderedPageBreak/>
              <w:t>проведение культурно-массовых мероприятий</w:t>
            </w:r>
          </w:p>
        </w:tc>
        <w:tc>
          <w:tcPr>
            <w:tcW w:w="2211" w:type="dxa"/>
          </w:tcPr>
          <w:p w:rsidR="00EB3305" w:rsidRDefault="00EB3305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мероприятий, единица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EB3305" w:rsidRDefault="00EB3305">
            <w:pPr>
              <w:pStyle w:val="ConsPlusNormal"/>
              <w:jc w:val="center"/>
            </w:pPr>
            <w:r>
              <w:t>4</w:t>
            </w:r>
          </w:p>
        </w:tc>
      </w:tr>
      <w:tr w:rsidR="00EB3305">
        <w:tc>
          <w:tcPr>
            <w:tcW w:w="709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268" w:type="dxa"/>
          </w:tcPr>
          <w:p w:rsidR="00EB3305" w:rsidRDefault="00EB3305">
            <w:pPr>
              <w:pStyle w:val="ConsPlusNormal"/>
            </w:pPr>
            <w:r>
              <w:t>Публичный показ музейных предметов, музейных коллекций</w:t>
            </w:r>
          </w:p>
        </w:tc>
        <w:tc>
          <w:tcPr>
            <w:tcW w:w="2211" w:type="dxa"/>
          </w:tcPr>
          <w:p w:rsidR="00EB3305" w:rsidRDefault="00EB3305">
            <w:pPr>
              <w:pStyle w:val="ConsPlusNormal"/>
            </w:pPr>
            <w:r>
              <w:t>число посетителей, человек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49" w:type="dxa"/>
          </w:tcPr>
          <w:p w:rsidR="00EB3305" w:rsidRDefault="00EB3305">
            <w:pPr>
              <w:pStyle w:val="ConsPlusNormal"/>
              <w:jc w:val="center"/>
            </w:pPr>
            <w:r>
              <w:t>50</w:t>
            </w:r>
          </w:p>
        </w:tc>
      </w:tr>
      <w:tr w:rsidR="00EB3305">
        <w:tc>
          <w:tcPr>
            <w:tcW w:w="709" w:type="dxa"/>
          </w:tcPr>
          <w:p w:rsidR="00EB3305" w:rsidRDefault="00EB3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EB3305" w:rsidRDefault="00EB3305">
            <w:pPr>
              <w:pStyle w:val="ConsPlusNormal"/>
            </w:pPr>
            <w:r>
              <w:t>Библиотечное, библиографическое и информационное обслуживание</w:t>
            </w:r>
          </w:p>
        </w:tc>
        <w:tc>
          <w:tcPr>
            <w:tcW w:w="2211" w:type="dxa"/>
          </w:tcPr>
          <w:p w:rsidR="00EB3305" w:rsidRDefault="00EB3305">
            <w:pPr>
              <w:pStyle w:val="ConsPlusNormal"/>
            </w:pPr>
            <w:r>
              <w:t>количество посещений, единица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9" w:type="dxa"/>
          </w:tcPr>
          <w:p w:rsidR="00EB3305" w:rsidRDefault="00EB3305">
            <w:pPr>
              <w:pStyle w:val="ConsPlusNormal"/>
              <w:jc w:val="center"/>
            </w:pPr>
            <w:r>
              <w:t>100</w:t>
            </w:r>
          </w:p>
        </w:tc>
      </w:tr>
      <w:tr w:rsidR="00EB3305">
        <w:tc>
          <w:tcPr>
            <w:tcW w:w="709" w:type="dxa"/>
          </w:tcPr>
          <w:p w:rsidR="00EB3305" w:rsidRDefault="00EB3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EB3305" w:rsidRDefault="00EB3305">
            <w:pPr>
              <w:pStyle w:val="ConsPlusNormal"/>
            </w:pPr>
            <w:r>
              <w:t xml:space="preserve">Предоставление социального обслуживания в форме на дому, включая оказание социально-бытовых, социально-медицинских, социально-психологических, социально-педагогических, социально-трудовых и социально-правовых услуг в целях повышения коммуникативного потенциала получателей социальных услуг, имеющих </w:t>
            </w:r>
            <w:r>
              <w:lastRenderedPageBreak/>
              <w:t>ограничения жизнедеятельности, в том числе детей-инвалидов, срочных социальных услуг</w:t>
            </w:r>
          </w:p>
        </w:tc>
        <w:tc>
          <w:tcPr>
            <w:tcW w:w="2211" w:type="dxa"/>
          </w:tcPr>
          <w:p w:rsidR="00EB3305" w:rsidRDefault="00EB3305">
            <w:pPr>
              <w:pStyle w:val="ConsPlusNormal"/>
            </w:pPr>
            <w:r>
              <w:lastRenderedPageBreak/>
              <w:t>количество получателей социальных услуг (человек)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3526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3526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3526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3526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3526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3526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3526</w:t>
            </w:r>
          </w:p>
        </w:tc>
        <w:tc>
          <w:tcPr>
            <w:tcW w:w="1849" w:type="dxa"/>
          </w:tcPr>
          <w:p w:rsidR="00EB3305" w:rsidRDefault="00EB3305">
            <w:pPr>
              <w:pStyle w:val="ConsPlusNormal"/>
              <w:jc w:val="center"/>
            </w:pPr>
            <w:r>
              <w:t>3526</w:t>
            </w:r>
          </w:p>
        </w:tc>
      </w:tr>
      <w:tr w:rsidR="00EB3305">
        <w:tc>
          <w:tcPr>
            <w:tcW w:w="709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268" w:type="dxa"/>
          </w:tcPr>
          <w:p w:rsidR="00EB3305" w:rsidRDefault="00EB3305">
            <w:pPr>
              <w:pStyle w:val="ConsPlusNormal"/>
            </w:pPr>
            <w:r>
              <w:t>Предоставление социального обслуживания в полустационарной форме, включая оказание социально-бытовых, социально-медицинских, социально-психологических, социально-педагогических, социально-трудовых и социально-правовых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211" w:type="dxa"/>
          </w:tcPr>
          <w:p w:rsidR="00EB3305" w:rsidRDefault="00EB3305">
            <w:pPr>
              <w:pStyle w:val="ConsPlusNormal"/>
            </w:pPr>
            <w:r>
              <w:t>количество получателей социальных услуг (человек)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198401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198401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198401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198401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198401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198401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198401</w:t>
            </w:r>
          </w:p>
        </w:tc>
        <w:tc>
          <w:tcPr>
            <w:tcW w:w="1849" w:type="dxa"/>
          </w:tcPr>
          <w:p w:rsidR="00EB3305" w:rsidRDefault="00EB3305">
            <w:pPr>
              <w:pStyle w:val="ConsPlusNormal"/>
              <w:jc w:val="center"/>
            </w:pPr>
            <w:r>
              <w:t>198401</w:t>
            </w:r>
          </w:p>
        </w:tc>
      </w:tr>
      <w:tr w:rsidR="00EB3305">
        <w:tc>
          <w:tcPr>
            <w:tcW w:w="709" w:type="dxa"/>
          </w:tcPr>
          <w:p w:rsidR="00EB3305" w:rsidRDefault="00EB33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EB3305" w:rsidRDefault="00EB3305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социального обслуживания в стационарной форме, включая оказание социально-бытовых, социально-медицинских, социально-психологических, социально-педагогических, социально-трудовых и социально-правовых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211" w:type="dxa"/>
          </w:tcPr>
          <w:p w:rsidR="00EB3305" w:rsidRDefault="00EB3305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получателей социальных услуг (человек)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1340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849" w:type="dxa"/>
          </w:tcPr>
          <w:p w:rsidR="00EB3305" w:rsidRDefault="00EB3305">
            <w:pPr>
              <w:pStyle w:val="ConsPlusNormal"/>
              <w:jc w:val="center"/>
            </w:pPr>
            <w:r>
              <w:t>1340</w:t>
            </w:r>
          </w:p>
        </w:tc>
      </w:tr>
      <w:tr w:rsidR="00EB3305">
        <w:tc>
          <w:tcPr>
            <w:tcW w:w="709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268" w:type="dxa"/>
          </w:tcPr>
          <w:p w:rsidR="00EB3305" w:rsidRDefault="00EB3305">
            <w:pPr>
              <w:pStyle w:val="ConsPlusNormal"/>
            </w:pPr>
            <w: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2211" w:type="dxa"/>
          </w:tcPr>
          <w:p w:rsidR="00EB3305" w:rsidRDefault="00EB3305">
            <w:pPr>
              <w:pStyle w:val="ConsPlusNormal"/>
            </w:pPr>
            <w:r>
              <w:t>количество человеко-часов (человеко-час)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53334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53334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53334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53334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53334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53334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53334</w:t>
            </w:r>
          </w:p>
        </w:tc>
        <w:tc>
          <w:tcPr>
            <w:tcW w:w="1849" w:type="dxa"/>
          </w:tcPr>
          <w:p w:rsidR="00EB3305" w:rsidRDefault="00EB3305">
            <w:pPr>
              <w:pStyle w:val="ConsPlusNormal"/>
              <w:jc w:val="center"/>
            </w:pPr>
            <w:r>
              <w:t>53334</w:t>
            </w:r>
          </w:p>
        </w:tc>
      </w:tr>
      <w:tr w:rsidR="00EB3305">
        <w:tc>
          <w:tcPr>
            <w:tcW w:w="709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Merge w:val="restart"/>
          </w:tcPr>
          <w:p w:rsidR="00EB3305" w:rsidRDefault="00EB3305">
            <w:pPr>
              <w:pStyle w:val="ConsPlusNormal"/>
            </w:pPr>
            <w:r>
              <w:t>Научно-методическое обеспечение</w:t>
            </w:r>
          </w:p>
        </w:tc>
        <w:tc>
          <w:tcPr>
            <w:tcW w:w="2211" w:type="dxa"/>
          </w:tcPr>
          <w:p w:rsidR="00EB3305" w:rsidRDefault="00EB3305">
            <w:pPr>
              <w:pStyle w:val="ConsPlusNormal"/>
            </w:pPr>
            <w:r>
              <w:t xml:space="preserve">количество организаций социального </w:t>
            </w:r>
            <w:r>
              <w:lastRenderedPageBreak/>
              <w:t>обслуживания, осуществляющих деятельность в социальной сфере автономного округа, принявших участие в независимой оценке качества (единица)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49" w:type="dxa"/>
          </w:tcPr>
          <w:p w:rsidR="00EB3305" w:rsidRDefault="00EB3305">
            <w:pPr>
              <w:pStyle w:val="ConsPlusNormal"/>
              <w:jc w:val="center"/>
            </w:pPr>
            <w:r>
              <w:t>47</w:t>
            </w:r>
          </w:p>
        </w:tc>
      </w:tr>
      <w:tr w:rsidR="00EB3305">
        <w:tc>
          <w:tcPr>
            <w:tcW w:w="709" w:type="dxa"/>
            <w:vMerge/>
          </w:tcPr>
          <w:p w:rsidR="00EB3305" w:rsidRDefault="00EB3305"/>
        </w:tc>
        <w:tc>
          <w:tcPr>
            <w:tcW w:w="2268" w:type="dxa"/>
            <w:vMerge/>
          </w:tcPr>
          <w:p w:rsidR="00EB3305" w:rsidRDefault="00EB3305"/>
        </w:tc>
        <w:tc>
          <w:tcPr>
            <w:tcW w:w="2211" w:type="dxa"/>
          </w:tcPr>
          <w:p w:rsidR="00EB3305" w:rsidRDefault="00EB3305">
            <w:pPr>
              <w:pStyle w:val="ConsPlusNormal"/>
            </w:pPr>
            <w:r>
              <w:t>количество разработанных методических материалов и проведенных экспертных оценок (единица)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49" w:type="dxa"/>
          </w:tcPr>
          <w:p w:rsidR="00EB3305" w:rsidRDefault="00EB3305">
            <w:pPr>
              <w:pStyle w:val="ConsPlusNormal"/>
              <w:jc w:val="center"/>
            </w:pPr>
            <w:r>
              <w:t>24</w:t>
            </w:r>
          </w:p>
        </w:tc>
      </w:tr>
      <w:tr w:rsidR="00EB3305">
        <w:tc>
          <w:tcPr>
            <w:tcW w:w="709" w:type="dxa"/>
            <w:vMerge/>
          </w:tcPr>
          <w:p w:rsidR="00EB3305" w:rsidRDefault="00EB3305"/>
        </w:tc>
        <w:tc>
          <w:tcPr>
            <w:tcW w:w="2268" w:type="dxa"/>
            <w:vMerge/>
          </w:tcPr>
          <w:p w:rsidR="00EB3305" w:rsidRDefault="00EB3305"/>
        </w:tc>
        <w:tc>
          <w:tcPr>
            <w:tcW w:w="2211" w:type="dxa"/>
          </w:tcPr>
          <w:p w:rsidR="00EB3305" w:rsidRDefault="00EB3305">
            <w:pPr>
              <w:pStyle w:val="ConsPlusNormal"/>
            </w:pPr>
            <w:r>
              <w:t>количество детей, охваченных оздоровительным отдыхом (человек)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849" w:type="dxa"/>
          </w:tcPr>
          <w:p w:rsidR="00EB3305" w:rsidRDefault="00EB3305">
            <w:pPr>
              <w:pStyle w:val="ConsPlusNormal"/>
              <w:jc w:val="center"/>
            </w:pPr>
            <w:r>
              <w:t>910</w:t>
            </w:r>
          </w:p>
        </w:tc>
      </w:tr>
      <w:tr w:rsidR="00EB3305">
        <w:tc>
          <w:tcPr>
            <w:tcW w:w="709" w:type="dxa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Организация и проведение мониторинговых и социологических исследований</w:t>
            </w:r>
          </w:p>
        </w:tc>
        <w:tc>
          <w:tcPr>
            <w:tcW w:w="2211" w:type="dxa"/>
          </w:tcPr>
          <w:p w:rsidR="00EB3305" w:rsidRDefault="00EB3305">
            <w:pPr>
              <w:pStyle w:val="ConsPlusNormal"/>
            </w:pPr>
            <w:r>
              <w:t>количество проведенных исследований, единица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EB3305" w:rsidRDefault="00EB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EB3305" w:rsidRDefault="00EB3305">
            <w:pPr>
              <w:pStyle w:val="ConsPlusNormal"/>
              <w:jc w:val="center"/>
            </w:pPr>
            <w:r>
              <w:t>2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268" w:type="dxa"/>
            <w:vMerge/>
            <w:tcBorders>
              <w:bottom w:val="nil"/>
            </w:tcBorders>
          </w:tcPr>
          <w:p w:rsidR="00EB3305" w:rsidRDefault="00EB3305"/>
        </w:tc>
        <w:tc>
          <w:tcPr>
            <w:tcW w:w="2211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количество отчетов по результатам проведенных исследований (единица)</w:t>
            </w:r>
          </w:p>
        </w:tc>
        <w:tc>
          <w:tcPr>
            <w:tcW w:w="904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0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13365" w:type="dxa"/>
            <w:gridSpan w:val="11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 xml:space="preserve">(п. 17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03.10.2019 N 349-п)</w:t>
            </w:r>
          </w:p>
        </w:tc>
      </w:tr>
    </w:tbl>
    <w:p w:rsidR="00EB3305" w:rsidRDefault="00EB3305">
      <w:pPr>
        <w:sectPr w:rsidR="00EB33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right"/>
        <w:outlineLvl w:val="1"/>
      </w:pPr>
      <w:r>
        <w:t>Таблица 4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</w:pPr>
      <w:r>
        <w:t>Перечень возможных рисков при реализации государственной</w:t>
      </w:r>
    </w:p>
    <w:p w:rsidR="00EB3305" w:rsidRDefault="00EB3305">
      <w:pPr>
        <w:pStyle w:val="ConsPlusTitle"/>
        <w:jc w:val="center"/>
      </w:pPr>
      <w:r>
        <w:t>программы и мер по их преодолению</w:t>
      </w:r>
    </w:p>
    <w:p w:rsidR="00EB3305" w:rsidRDefault="00EB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39"/>
        <w:gridCol w:w="4309"/>
      </w:tblGrid>
      <w:tr w:rsidR="00EB3305">
        <w:tc>
          <w:tcPr>
            <w:tcW w:w="567" w:type="dxa"/>
          </w:tcPr>
          <w:p w:rsidR="00EB3305" w:rsidRDefault="00EB33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9" w:type="dxa"/>
          </w:tcPr>
          <w:p w:rsidR="00EB3305" w:rsidRDefault="00EB3305">
            <w:pPr>
              <w:pStyle w:val="ConsPlusNormal"/>
              <w:jc w:val="center"/>
            </w:pPr>
            <w:r>
              <w:t>Описание риска</w:t>
            </w:r>
          </w:p>
        </w:tc>
        <w:tc>
          <w:tcPr>
            <w:tcW w:w="4309" w:type="dxa"/>
          </w:tcPr>
          <w:p w:rsidR="00EB3305" w:rsidRDefault="00EB3305">
            <w:pPr>
              <w:pStyle w:val="ConsPlusNormal"/>
              <w:jc w:val="center"/>
            </w:pPr>
            <w:r>
              <w:t>Меры по преодолению рисков</w:t>
            </w:r>
          </w:p>
        </w:tc>
      </w:tr>
      <w:tr w:rsidR="00EB3305">
        <w:tc>
          <w:tcPr>
            <w:tcW w:w="567" w:type="dxa"/>
          </w:tcPr>
          <w:p w:rsidR="00EB3305" w:rsidRDefault="00EB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EB3305" w:rsidRDefault="00EB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EB3305" w:rsidRDefault="00EB3305">
            <w:pPr>
              <w:pStyle w:val="ConsPlusNormal"/>
              <w:jc w:val="center"/>
            </w:pPr>
            <w:r>
              <w:t>3</w:t>
            </w:r>
          </w:p>
        </w:tc>
      </w:tr>
      <w:tr w:rsidR="00EB3305">
        <w:tc>
          <w:tcPr>
            <w:tcW w:w="567" w:type="dxa"/>
          </w:tcPr>
          <w:p w:rsidR="00EB3305" w:rsidRDefault="00EB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EB3305" w:rsidRDefault="00EB3305">
            <w:pPr>
              <w:pStyle w:val="ConsPlusNormal"/>
              <w:jc w:val="both"/>
            </w:pPr>
            <w:r>
              <w:t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государственной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4309" w:type="dxa"/>
          </w:tcPr>
          <w:p w:rsidR="00EB3305" w:rsidRDefault="00EB3305">
            <w:pPr>
              <w:pStyle w:val="ConsPlusNormal"/>
              <w:ind w:firstLine="283"/>
              <w:jc w:val="both"/>
            </w:pPr>
            <w:r>
              <w:t>а) на этапе согласования проекта государственной программы привлечь для рассмотрения и подготовки предложений органы местного самоуправления муниципальных образований автономного округа, население, общественные организации;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б) мониторинг планируемых изменений в законодательстве Российской Федерации и автономного округа</w:t>
            </w:r>
          </w:p>
        </w:tc>
      </w:tr>
      <w:tr w:rsidR="00EB3305">
        <w:tc>
          <w:tcPr>
            <w:tcW w:w="567" w:type="dxa"/>
          </w:tcPr>
          <w:p w:rsidR="00EB3305" w:rsidRDefault="00EB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EB3305" w:rsidRDefault="00EB3305">
            <w:pPr>
              <w:pStyle w:val="ConsPlusNormal"/>
              <w:jc w:val="both"/>
            </w:pPr>
            <w:r>
              <w:t>Финансовые риски связаны с сокращением бюджетного финансирования, выделенного на выполнение государственной программы, удорожанием стоимости товаров (услуг), непрогнозируемыми инфляционными процессами</w:t>
            </w:r>
          </w:p>
        </w:tc>
        <w:tc>
          <w:tcPr>
            <w:tcW w:w="4309" w:type="dxa"/>
          </w:tcPr>
          <w:p w:rsidR="00EB3305" w:rsidRDefault="00EB3305">
            <w:pPr>
              <w:pStyle w:val="ConsPlusNormal"/>
              <w:ind w:firstLine="283"/>
              <w:jc w:val="both"/>
            </w:pPr>
            <w:r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государственной программе (перераспределение финансовых ресурсов);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EB3305">
        <w:tc>
          <w:tcPr>
            <w:tcW w:w="567" w:type="dxa"/>
          </w:tcPr>
          <w:p w:rsidR="00EB3305" w:rsidRDefault="00EB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EB3305" w:rsidRDefault="00EB3305">
            <w:pPr>
              <w:pStyle w:val="ConsPlusNormal"/>
              <w:jc w:val="both"/>
            </w:pPr>
            <w:r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государственной программы</w:t>
            </w:r>
          </w:p>
        </w:tc>
        <w:tc>
          <w:tcPr>
            <w:tcW w:w="4309" w:type="dxa"/>
          </w:tcPr>
          <w:p w:rsidR="00EB3305" w:rsidRDefault="00EB3305">
            <w:pPr>
              <w:pStyle w:val="ConsPlusNormal"/>
              <w:ind w:firstLine="283"/>
              <w:jc w:val="both"/>
            </w:pPr>
            <w:r>
              <w:t>а) публикация отчетов о ходе реализации государственной программы;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б) мониторинг реализации государственной программы;</w:t>
            </w:r>
          </w:p>
          <w:p w:rsidR="00EB3305" w:rsidRDefault="00EB3305">
            <w:pPr>
              <w:pStyle w:val="ConsPlusNormal"/>
              <w:ind w:firstLine="283"/>
              <w:jc w:val="both"/>
            </w:pPr>
            <w:r>
              <w:t>в) своевременная корректировка программных мероприятий государственной программы</w:t>
            </w:r>
          </w:p>
        </w:tc>
      </w:tr>
    </w:tbl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center"/>
      </w:pPr>
    </w:p>
    <w:p w:rsidR="00EB3305" w:rsidRDefault="00EB3305">
      <w:pPr>
        <w:pStyle w:val="ConsPlusNormal"/>
        <w:jc w:val="center"/>
      </w:pPr>
    </w:p>
    <w:p w:rsidR="00EB3305" w:rsidRDefault="00EB3305">
      <w:pPr>
        <w:pStyle w:val="ConsPlusNormal"/>
        <w:jc w:val="center"/>
      </w:pPr>
    </w:p>
    <w:p w:rsidR="00EB3305" w:rsidRDefault="00EB3305">
      <w:pPr>
        <w:pStyle w:val="ConsPlusNormal"/>
        <w:jc w:val="center"/>
      </w:pPr>
    </w:p>
    <w:p w:rsidR="00EB3305" w:rsidRDefault="00EB3305">
      <w:pPr>
        <w:pStyle w:val="ConsPlusNormal"/>
        <w:jc w:val="right"/>
        <w:outlineLvl w:val="0"/>
      </w:pPr>
      <w:r>
        <w:t>Приложение 2</w:t>
      </w:r>
    </w:p>
    <w:p w:rsidR="00EB3305" w:rsidRDefault="00EB3305">
      <w:pPr>
        <w:pStyle w:val="ConsPlusNormal"/>
        <w:jc w:val="right"/>
      </w:pPr>
      <w:r>
        <w:t>к постановлению</w:t>
      </w:r>
    </w:p>
    <w:p w:rsidR="00EB3305" w:rsidRDefault="00EB3305">
      <w:pPr>
        <w:pStyle w:val="ConsPlusNormal"/>
        <w:jc w:val="right"/>
      </w:pPr>
      <w:r>
        <w:t>Правительства</w:t>
      </w:r>
    </w:p>
    <w:p w:rsidR="00EB3305" w:rsidRDefault="00EB3305">
      <w:pPr>
        <w:pStyle w:val="ConsPlusNormal"/>
        <w:jc w:val="right"/>
      </w:pPr>
      <w:r>
        <w:t>Ханты-Мансийского</w:t>
      </w:r>
    </w:p>
    <w:p w:rsidR="00EB3305" w:rsidRDefault="00EB3305">
      <w:pPr>
        <w:pStyle w:val="ConsPlusNormal"/>
        <w:jc w:val="right"/>
      </w:pPr>
      <w:r>
        <w:t>автономного округа - Югры</w:t>
      </w:r>
    </w:p>
    <w:p w:rsidR="00EB3305" w:rsidRDefault="00EB3305">
      <w:pPr>
        <w:pStyle w:val="ConsPlusNormal"/>
        <w:jc w:val="right"/>
      </w:pPr>
      <w:r>
        <w:t>от 5 октября 2018 года N 349-п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</w:pPr>
      <w:bookmarkStart w:id="4" w:name="P3313"/>
      <w:bookmarkEnd w:id="4"/>
      <w:r>
        <w:t>НАПРАВЛЕНИЯ</w:t>
      </w:r>
    </w:p>
    <w:p w:rsidR="00EB3305" w:rsidRDefault="00EB3305">
      <w:pPr>
        <w:pStyle w:val="ConsPlusTitle"/>
        <w:jc w:val="center"/>
      </w:pPr>
      <w:r>
        <w:lastRenderedPageBreak/>
        <w:t>МЕРОПРИЯТИЙ ГОСУДАРСТВЕННОЙ ПРОГРАММЫ</w:t>
      </w:r>
    </w:p>
    <w:p w:rsidR="00EB3305" w:rsidRDefault="00EB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15.02.2019 N 43-п;</w:t>
            </w:r>
          </w:p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ХМАО - Югры от 05.04.2019 </w:t>
            </w:r>
            <w:hyperlink r:id="rId43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>,</w:t>
            </w:r>
          </w:p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44" w:history="1">
              <w:r>
                <w:rPr>
                  <w:color w:val="0000FF"/>
                </w:rPr>
                <w:t>N 349-п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3305" w:rsidRDefault="00EB3305">
      <w:pPr>
        <w:pStyle w:val="ConsPlusNormal"/>
        <w:jc w:val="both"/>
      </w:pPr>
    </w:p>
    <w:p w:rsidR="00EB3305" w:rsidRDefault="00EB3305">
      <w:pPr>
        <w:sectPr w:rsidR="00EB33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3628"/>
        <w:gridCol w:w="3855"/>
        <w:gridCol w:w="3628"/>
      </w:tblGrid>
      <w:tr w:rsidR="00EB3305">
        <w:tc>
          <w:tcPr>
            <w:tcW w:w="557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83" w:type="dxa"/>
            <w:gridSpan w:val="2"/>
          </w:tcPr>
          <w:p w:rsidR="00EB3305" w:rsidRDefault="00EB3305">
            <w:pPr>
              <w:pStyle w:val="ConsPlusNormal"/>
              <w:jc w:val="center"/>
            </w:pPr>
            <w:r>
              <w:t>Основные мероприятия</w:t>
            </w:r>
          </w:p>
        </w:tc>
        <w:tc>
          <w:tcPr>
            <w:tcW w:w="3628" w:type="dxa"/>
            <w:vMerge w:val="restart"/>
          </w:tcPr>
          <w:p w:rsidR="00EB3305" w:rsidRDefault="00EB3305">
            <w:pPr>
              <w:pStyle w:val="ConsPlusNormal"/>
              <w:jc w:val="center"/>
            </w:pPr>
            <w:r>
              <w:t>Наименование порядка, номер приложения (при наличии)</w:t>
            </w:r>
          </w:p>
        </w:tc>
      </w:tr>
      <w:tr w:rsidR="00EB3305">
        <w:tc>
          <w:tcPr>
            <w:tcW w:w="557" w:type="dxa"/>
            <w:vMerge/>
          </w:tcPr>
          <w:p w:rsidR="00EB3305" w:rsidRDefault="00EB3305"/>
        </w:tc>
        <w:tc>
          <w:tcPr>
            <w:tcW w:w="3628" w:type="dxa"/>
          </w:tcPr>
          <w:p w:rsidR="00EB3305" w:rsidRDefault="00EB33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3628" w:type="dxa"/>
            <w:vMerge/>
          </w:tcPr>
          <w:p w:rsidR="00EB3305" w:rsidRDefault="00EB3305"/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  <w:jc w:val="center"/>
            </w:pPr>
            <w:r>
              <w:t>4</w:t>
            </w:r>
          </w:p>
        </w:tc>
      </w:tr>
      <w:tr w:rsidR="00EB3305">
        <w:tc>
          <w:tcPr>
            <w:tcW w:w="11668" w:type="dxa"/>
            <w:gridSpan w:val="4"/>
          </w:tcPr>
          <w:p w:rsidR="00EB3305" w:rsidRDefault="00EB3305">
            <w:pPr>
              <w:pStyle w:val="ConsPlusNormal"/>
              <w:jc w:val="center"/>
            </w:pPr>
            <w:r>
              <w:t>Цель: Укрепление единства многонационального народа Российской Федерации, профилактика экстремизма на национальной и религиозной почве</w:t>
            </w:r>
          </w:p>
        </w:tc>
      </w:tr>
      <w:tr w:rsidR="00EB3305">
        <w:tc>
          <w:tcPr>
            <w:tcW w:w="11668" w:type="dxa"/>
            <w:gridSpan w:val="4"/>
          </w:tcPr>
          <w:p w:rsidR="00EB3305" w:rsidRDefault="00EB3305">
            <w:pPr>
              <w:pStyle w:val="ConsPlusNormal"/>
              <w:jc w:val="center"/>
            </w:pPr>
            <w:r>
              <w:t>Задача 1. Укрепление межнационального и межконфессионального согласия, сохранение этнокультурного многообразия народов Российской Федерации, проживающих в автономном округе</w:t>
            </w:r>
          </w:p>
        </w:tc>
      </w:tr>
      <w:tr w:rsidR="00EB3305">
        <w:tc>
          <w:tcPr>
            <w:tcW w:w="11668" w:type="dxa"/>
            <w:gridSpan w:val="4"/>
          </w:tcPr>
          <w:p w:rsidR="00EB3305" w:rsidRDefault="00EB3305">
            <w:pPr>
              <w:pStyle w:val="ConsPlusNormal"/>
              <w:jc w:val="center"/>
              <w:outlineLvl w:val="1"/>
            </w:pPr>
            <w:r>
              <w:t>Подпрограмма 1. Гармонизация межнациональных и межконфессиональных отношений</w:t>
            </w: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  <w:jc w:val="both"/>
            </w:pPr>
            <w:r>
              <w:t>Государственно-общественное партнерство (предоставление субсидии для возмещения фактических затрат некоммерческим организациям, участвующим во всероссийских и региональных мероприятиях по реализации государственной национальной политики)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r>
              <w:t>субсидии для возмещения фактических затрат некоммерческим организациям, участвующим во всероссийских и региональных мероприятиях по реализации государственной национальной политики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  <w:jc w:val="both"/>
            </w:pPr>
            <w:hyperlink w:anchor="P3502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реализацию мероприятия 1.1 Подпрограммы 1 "Гармонизация межнациональных и межконфессиональных отношений" государственной программы (приложение 3)</w:t>
            </w: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  <w:jc w:val="both"/>
            </w:pPr>
            <w:r>
              <w:t>Проведение мероприятий по формированию общероссийской гражданской идентичности, приуроченных к празднованию государственных праздников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r>
              <w:t>организация социально значимых общественных мероприятий, направленных на формирование гражданской идентичности, уважительного отношения к культуре и национальным традициям народов России, проживающих в автономном округе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  <w:jc w:val="both"/>
            </w:pPr>
            <w:r>
              <w:t xml:space="preserve">Конкурс на получение премии "За вклад в развитие межэтнических </w:t>
            </w:r>
            <w:r>
              <w:lastRenderedPageBreak/>
              <w:t xml:space="preserve">отношений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Югре"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r>
              <w:lastRenderedPageBreak/>
              <w:t xml:space="preserve">конкурс на присуждение премии Губернатора автономного округа "За </w:t>
            </w:r>
            <w:r>
              <w:lastRenderedPageBreak/>
              <w:t xml:space="preserve">вклад в развитие межэтнических отношений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Югре"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  <w:jc w:val="both"/>
            </w:pPr>
            <w:r>
              <w:t>Содействие религиозным организациям в культурно-просветительской и социально значимой деятельности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r>
              <w:t>обучающий семинар, направленный на противодействие распространению религиозного радикализма, разъяснение идей межконфессионального согласия, расширение межрелигиозного диалога;</w:t>
            </w:r>
          </w:p>
          <w:p w:rsidR="00EB3305" w:rsidRDefault="00EB3305">
            <w:pPr>
              <w:pStyle w:val="ConsPlusNormal"/>
              <w:jc w:val="both"/>
            </w:pPr>
            <w:r>
              <w:t>научно-практические конференции;</w:t>
            </w:r>
          </w:p>
          <w:p w:rsidR="00EB3305" w:rsidRDefault="00EB3305">
            <w:pPr>
              <w:pStyle w:val="ConsPlusNormal"/>
              <w:jc w:val="both"/>
            </w:pPr>
            <w:r>
              <w:t>мероприятия по обеспечению просветительской деятельности в целях противодействия распространению религиозного радикализма;</w:t>
            </w:r>
          </w:p>
          <w:p w:rsidR="00EB3305" w:rsidRDefault="00EB3305">
            <w:pPr>
              <w:pStyle w:val="ConsPlusNormal"/>
              <w:jc w:val="both"/>
            </w:pPr>
            <w:r>
              <w:t>общественно значимые культурно-просветительские программы и мероприятия, направленные на обеспечение межнационального и межконфессионального согласия.</w:t>
            </w:r>
          </w:p>
          <w:p w:rsidR="00EB3305" w:rsidRDefault="00EB3305">
            <w:pPr>
              <w:pStyle w:val="ConsPlusNormal"/>
              <w:jc w:val="both"/>
            </w:pPr>
            <w:r>
              <w:t>При этом Депполитики Югры без финансирования обеспечивает формирование программы и состава экспертов, а также определяет место проведения обучающего семинара, направленного на противодействие распространению религиозного радикализма, разъяснение идей межконфессионального согласия, расширение межрелигиозного диалога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  <w:r>
              <w:t xml:space="preserve">Поддержка и популяризация </w:t>
            </w:r>
            <w:r>
              <w:lastRenderedPageBreak/>
              <w:t>русского языка как государственного языка Российской Федерации и средства межнационального общения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r>
              <w:lastRenderedPageBreak/>
              <w:t xml:space="preserve">занятия для детей из семей мигрантов </w:t>
            </w:r>
            <w:r>
              <w:lastRenderedPageBreak/>
              <w:t>на базе учреждений культуры. При этом Депобразования и молодежи Югры без финансирования обеспечивает проведение Дня русского языка в образовательных организациях автономного округа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  <w:r>
              <w:t>Информационное обеспечение реализации государственной национальной политики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r>
              <w:t>комплекс мер по информационному обеспечению государственной национальной политики;</w:t>
            </w:r>
          </w:p>
          <w:p w:rsidR="00EB3305" w:rsidRDefault="00EB3305">
            <w:pPr>
              <w:pStyle w:val="ConsPlusNormal"/>
              <w:jc w:val="both"/>
            </w:pPr>
            <w:r>
              <w:t>популяризация в СМИ идей гражданского единства, межнационального и межконфессионального мира и согласия;</w:t>
            </w:r>
          </w:p>
          <w:p w:rsidR="00EB3305" w:rsidRDefault="00EB3305">
            <w:pPr>
              <w:pStyle w:val="ConsPlusNormal"/>
              <w:jc w:val="both"/>
            </w:pPr>
            <w:r>
              <w:t>меры по обеспечению доступа граждан к информации о реализации государственной национальной политики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  <w:r>
              <w:t>Конкурс на лучшие журналистские работы и проекты СМИ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r>
              <w:t>конкурс "Мир нашему дому" в целях поощрения журналистов и редакций средств массовой информации за лучшие работы и проекты, способствующие формированию положительного представления о многонациональности автономного округа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</w:p>
        </w:tc>
      </w:tr>
      <w:tr w:rsidR="00EB3305">
        <w:tblPrEx>
          <w:tblBorders>
            <w:insideH w:val="nil"/>
          </w:tblBorders>
        </w:tblPrEx>
        <w:tc>
          <w:tcPr>
            <w:tcW w:w="55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628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Форум национального единства</w:t>
            </w:r>
          </w:p>
        </w:tc>
        <w:tc>
          <w:tcPr>
            <w:tcW w:w="3855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>проведение форума национального единства</w:t>
            </w:r>
          </w:p>
        </w:tc>
        <w:tc>
          <w:tcPr>
            <w:tcW w:w="3628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</w:p>
        </w:tc>
      </w:tr>
      <w:tr w:rsidR="00EB3305">
        <w:tblPrEx>
          <w:tblBorders>
            <w:insideH w:val="nil"/>
          </w:tblBorders>
        </w:tblPrEx>
        <w:tc>
          <w:tcPr>
            <w:tcW w:w="11668" w:type="dxa"/>
            <w:gridSpan w:val="4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 xml:space="preserve">(п. 1.8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05.04.2019 N 111-п)</w:t>
            </w: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  <w:r>
              <w:t xml:space="preserve">Проведение спортивных состязаний </w:t>
            </w:r>
            <w:r>
              <w:lastRenderedPageBreak/>
              <w:t>и спартакиад народов России, проживающих в автономном округе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r>
              <w:lastRenderedPageBreak/>
              <w:t xml:space="preserve">проведение традиционных игр и </w:t>
            </w:r>
            <w:r>
              <w:lastRenderedPageBreak/>
              <w:t>состязаний, в том числе приуроченных к национальным праздникам, коренных малочисленных народов Севера и других народов, проживающих в автономном округе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  <w:r>
              <w:t>Обеспечение условий по реализации в муниципальных образованиях единой государственной политики в сфере межнациональных отношений и профилактики экстремизма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r>
              <w:t>форумы,</w:t>
            </w:r>
          </w:p>
          <w:p w:rsidR="00EB3305" w:rsidRDefault="00EB3305">
            <w:pPr>
              <w:pStyle w:val="ConsPlusNormal"/>
              <w:jc w:val="both"/>
            </w:pPr>
            <w:r>
              <w:t>фестивали,</w:t>
            </w:r>
          </w:p>
          <w:p w:rsidR="00EB3305" w:rsidRDefault="00EB3305">
            <w:pPr>
              <w:pStyle w:val="ConsPlusNormal"/>
              <w:jc w:val="both"/>
            </w:pPr>
            <w:r>
              <w:t>конкурсы,</w:t>
            </w:r>
          </w:p>
          <w:p w:rsidR="00EB3305" w:rsidRDefault="00EB3305">
            <w:pPr>
              <w:pStyle w:val="ConsPlusNormal"/>
              <w:jc w:val="both"/>
            </w:pPr>
            <w:r>
              <w:t>конференции,</w:t>
            </w:r>
          </w:p>
          <w:p w:rsidR="00EB3305" w:rsidRDefault="00EB3305">
            <w:pPr>
              <w:pStyle w:val="ConsPlusNormal"/>
              <w:jc w:val="both"/>
            </w:pPr>
            <w:r>
              <w:t>"круглые столы",</w:t>
            </w:r>
          </w:p>
          <w:p w:rsidR="00EB3305" w:rsidRDefault="00EB3305">
            <w:pPr>
              <w:pStyle w:val="ConsPlusNormal"/>
              <w:jc w:val="both"/>
            </w:pPr>
            <w:r>
              <w:t>выставки-презентации, семинары,</w:t>
            </w:r>
          </w:p>
          <w:p w:rsidR="00EB3305" w:rsidRDefault="00EB3305">
            <w:pPr>
              <w:pStyle w:val="ConsPlusNormal"/>
              <w:jc w:val="both"/>
            </w:pPr>
            <w:r>
              <w:t>курсы повышения квалификации,</w:t>
            </w:r>
          </w:p>
          <w:p w:rsidR="00EB3305" w:rsidRDefault="00EB3305">
            <w:pPr>
              <w:pStyle w:val="ConsPlusNormal"/>
              <w:jc w:val="both"/>
            </w:pPr>
            <w:r>
              <w:t>культурно-массовые, общественно значимые, просветительские и иные мероприятия в сфере государственной национальной политики, профилактики экстремизма, проводимые муниципальными образованиями автономного округа.</w:t>
            </w:r>
          </w:p>
          <w:p w:rsidR="00EB3305" w:rsidRDefault="00EB3305">
            <w:pPr>
              <w:pStyle w:val="ConsPlusNormal"/>
              <w:jc w:val="both"/>
            </w:pPr>
            <w:r>
              <w:t>При этом Депполитики Югры без финансирования проводит региональный этап Всероссийского конкурса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в целях выявления и распространения лучших муниципальных практик в указанной сфере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  <w:jc w:val="both"/>
            </w:pPr>
            <w:hyperlink w:anchor="P358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средств бюджета автономного округа местным бюджетам для реализации мероприятия 1.10 подпрограммы 1 "Гармонизация межнациональных и межконфессиональных отношений" (приложение 4)</w:t>
            </w: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  <w:jc w:val="both"/>
            </w:pPr>
            <w:r>
              <w:t xml:space="preserve">Проведение Всероссийской </w:t>
            </w:r>
            <w:r>
              <w:lastRenderedPageBreak/>
              <w:t>просветительской акции "Большой этнографический диктант" в автономном округе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r>
              <w:lastRenderedPageBreak/>
              <w:t xml:space="preserve">Всероссийская просветительская акция </w:t>
            </w:r>
            <w:r>
              <w:lastRenderedPageBreak/>
              <w:t>"Большой этнографический диктант" (далее - акция) в автономном округе. При этом Депобразования и молодежи Югры без финансирования осуществляет взаимодействие с профессиональными образовательными организациями и образовательными организациями высшего образования, а также органами местного самоуправления муниципальных образований автономного округа, осуществляющими управление в сфере образования в части определения площадок проведения акции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1.12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  <w:jc w:val="both"/>
            </w:pPr>
            <w:r>
              <w:t>Создание условий для сохранения и развития языков народов России, проживающих в автономном округе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r>
              <w:t>семинары,</w:t>
            </w:r>
          </w:p>
          <w:p w:rsidR="00EB3305" w:rsidRDefault="00EB3305">
            <w:pPr>
              <w:pStyle w:val="ConsPlusNormal"/>
              <w:jc w:val="both"/>
            </w:pPr>
            <w:r>
              <w:t>конкурсы,</w:t>
            </w:r>
          </w:p>
          <w:p w:rsidR="00EB3305" w:rsidRDefault="00EB3305">
            <w:pPr>
              <w:pStyle w:val="ConsPlusNormal"/>
              <w:jc w:val="both"/>
            </w:pPr>
            <w:r>
              <w:t>"круглые столы" по вопросам сохранения и развития родного языка коренных малочисленных народов Севера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</w:p>
        </w:tc>
      </w:tr>
      <w:tr w:rsidR="00EB3305">
        <w:tc>
          <w:tcPr>
            <w:tcW w:w="11668" w:type="dxa"/>
            <w:gridSpan w:val="4"/>
          </w:tcPr>
          <w:p w:rsidR="00EB3305" w:rsidRDefault="00EB3305">
            <w:pPr>
              <w:pStyle w:val="ConsPlusNormal"/>
              <w:jc w:val="center"/>
            </w:pPr>
            <w:r>
              <w:t>Задача 2. Предупреждение экстремистской деятельности, укрепление гражданского единства</w:t>
            </w:r>
          </w:p>
          <w:p w:rsidR="00EB3305" w:rsidRDefault="00EB3305">
            <w:pPr>
              <w:pStyle w:val="ConsPlusNormal"/>
              <w:jc w:val="center"/>
            </w:pPr>
            <w:r>
              <w:t>Задача 3. Содействие социальной и культурной адаптации мигрантов</w:t>
            </w:r>
          </w:p>
        </w:tc>
      </w:tr>
      <w:tr w:rsidR="00EB3305">
        <w:tc>
          <w:tcPr>
            <w:tcW w:w="11668" w:type="dxa"/>
            <w:gridSpan w:val="4"/>
          </w:tcPr>
          <w:p w:rsidR="00EB3305" w:rsidRDefault="00EB3305">
            <w:pPr>
              <w:pStyle w:val="ConsPlusNormal"/>
              <w:jc w:val="center"/>
              <w:outlineLvl w:val="1"/>
            </w:pPr>
            <w:r>
              <w:t>Подпрограмма 2. Профилактика экстремизма, обеспечение гражданского единства</w:t>
            </w: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  <w:jc w:val="both"/>
            </w:pPr>
            <w:r>
              <w:t>Профилактика ксенофобии и экстремизма, подготовка кадров в сфере формирования установок толерантного сознания и межкультурного воспитания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proofErr w:type="gramStart"/>
            <w:r>
              <w:t>обучение специалистов по работе</w:t>
            </w:r>
            <w:proofErr w:type="gramEnd"/>
            <w:r>
              <w:t xml:space="preserve"> с молодежью, педагогов, общественных лидеров новейшим технологиям и принципам работы по вопросам воспитания толерантности у подрастающего поколения;</w:t>
            </w:r>
          </w:p>
          <w:p w:rsidR="00EB3305" w:rsidRDefault="00EB3305">
            <w:pPr>
              <w:pStyle w:val="ConsPlusNormal"/>
              <w:jc w:val="both"/>
            </w:pPr>
            <w:r>
              <w:lastRenderedPageBreak/>
              <w:t>разработка и издание учебно-методической литературы;</w:t>
            </w:r>
          </w:p>
          <w:p w:rsidR="00EB3305" w:rsidRDefault="00EB3305">
            <w:pPr>
              <w:pStyle w:val="ConsPlusNormal"/>
              <w:jc w:val="both"/>
            </w:pPr>
            <w:r>
              <w:t>проведение лингвистических и фоноскопических исследований материалов на предмет выявления в них высказываний экстремистской направленности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</w:p>
        </w:tc>
      </w:tr>
      <w:tr w:rsidR="00EB3305">
        <w:tblPrEx>
          <w:tblBorders>
            <w:insideH w:val="nil"/>
          </w:tblBorders>
        </w:tblPrEx>
        <w:tc>
          <w:tcPr>
            <w:tcW w:w="55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628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>Конкурс проектов по формированию культуры толерантности, противодействию ксенофобии и профилактике экстремизма</w:t>
            </w:r>
          </w:p>
        </w:tc>
        <w:tc>
          <w:tcPr>
            <w:tcW w:w="3855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>выявление и поддержка проектов, направленных на предупреждение фактов националистического или религиозного экстремизма, воспитание культуры межнационального общения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both"/>
            </w:pPr>
            <w:hyperlink w:anchor="P3687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грантов в форме субсидии победителям конкурса проектов по формированию культуры толерантности, противодействию ксенофобии и профилактике экстремизма (приложение 5)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11668" w:type="dxa"/>
            <w:gridSpan w:val="4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03.10.2019 N 349-п)</w:t>
            </w: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  <w:jc w:val="both"/>
            </w:pPr>
            <w:proofErr w:type="gramStart"/>
            <w:r>
              <w:t>Развитие потенциала молодежи и его использование в интересах укрепления единства российской нации и профилактики экстремизма (проведение форумов, фестивалей, круглых столов</w:t>
            </w:r>
            <w:proofErr w:type="gramEnd"/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r>
              <w:t>проведение Окружного молодежного форума-фестиваля и Молодежного фестиваля национальных культур Югры "Мы единый народ", направленных на профилактику терроризма, экстремизма, укрепление установок толерантного сознания;</w:t>
            </w:r>
          </w:p>
          <w:p w:rsidR="00EB3305" w:rsidRDefault="00EB3305">
            <w:pPr>
              <w:pStyle w:val="ConsPlusNormal"/>
              <w:jc w:val="both"/>
            </w:pPr>
            <w:r>
              <w:t>проведение "Школы дружбы" для осуществления просветительской работы среди учащихся старших классов по предотвращению их вовлечения в экстремистскую деятельность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  <w:jc w:val="both"/>
            </w:pPr>
            <w:r>
              <w:t>Создание условий для социальной и культурной адаптации мигрантов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r>
              <w:t xml:space="preserve">разработка и издание информационных материалов для </w:t>
            </w:r>
            <w:r>
              <w:lastRenderedPageBreak/>
              <w:t>мигрантов;</w:t>
            </w:r>
          </w:p>
          <w:p w:rsidR="00EB3305" w:rsidRDefault="00EB3305">
            <w:pPr>
              <w:pStyle w:val="ConsPlusNormal"/>
              <w:jc w:val="both"/>
            </w:pPr>
            <w:r>
              <w:t>обучение и переподготовка специалистов, работающих с детьми-мигрантами;</w:t>
            </w:r>
          </w:p>
          <w:p w:rsidR="00EB3305" w:rsidRDefault="00EB3305">
            <w:pPr>
              <w:pStyle w:val="ConsPlusNormal"/>
              <w:jc w:val="both"/>
            </w:pPr>
            <w:r>
              <w:t>разработка и распространение памятки-карты для мигрантов с адресами служб, органов власти и некоммерческих организаций (включая лингвистическую экспертизу, направленную на облегчение понимания текста);</w:t>
            </w:r>
          </w:p>
          <w:p w:rsidR="00EB3305" w:rsidRDefault="00EB3305">
            <w:pPr>
              <w:pStyle w:val="ConsPlusNormal"/>
              <w:jc w:val="both"/>
            </w:pPr>
            <w:r>
              <w:t>производство и распространение обучающих видеокурсов для мигрантов для разъяснения основ культуры поведения в принимающем сообществе, обучения основам разговорного русского языка.</w:t>
            </w:r>
          </w:p>
          <w:p w:rsidR="00EB3305" w:rsidRDefault="00EB3305">
            <w:pPr>
              <w:pStyle w:val="ConsPlusNormal"/>
              <w:jc w:val="both"/>
            </w:pPr>
            <w:r>
              <w:t>При этом Депкультуры Югры без финансирования организует и проводит регулярные экскурсии для мигрантов в музеях автономного округа; Депсоцразвития Югры без финансирования реализует мероприятия по социализации в учреждениях социального обслуживания детей из семей мигрантов в возрасте от 3 до 18 лет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  <w:r>
              <w:t>Повышение профессионального уровня специалистов по вопросам государственной национальной политики и профилактики экстремизма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r>
              <w:t xml:space="preserve">семинар для сотрудников исполнительных органов государственной власти автономного округа, подведомственных им государственных учреждений и органов местного самоуправления </w:t>
            </w:r>
            <w:r>
              <w:lastRenderedPageBreak/>
              <w:t>муниципальных образований автономного округа, отвечающих за реализацию государственной национальной политики, профилактику экстремизма и терроризма. При этом Депполитики Югры без финансирования осуществляет подготовку программы семинара и списка федеральных и региональных экспертов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  <w:r>
              <w:t>Информационное обеспечение реализации мероприятий по профилактике экстремизма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r>
              <w:t>производство и трансляция телевизионных и радиопрограмм,</w:t>
            </w:r>
          </w:p>
          <w:p w:rsidR="00EB3305" w:rsidRDefault="00EB3305">
            <w:pPr>
              <w:pStyle w:val="ConsPlusNormal"/>
              <w:jc w:val="both"/>
            </w:pPr>
            <w:r>
              <w:t>издание информационно-методической литературы,</w:t>
            </w:r>
          </w:p>
          <w:p w:rsidR="00EB3305" w:rsidRDefault="00EB3305">
            <w:pPr>
              <w:pStyle w:val="ConsPlusNormal"/>
              <w:jc w:val="both"/>
            </w:pPr>
            <w:r>
              <w:t xml:space="preserve">создание и развитие </w:t>
            </w:r>
            <w:proofErr w:type="gramStart"/>
            <w:r>
              <w:t>интернет-проектов</w:t>
            </w:r>
            <w:proofErr w:type="gramEnd"/>
            <w:r>
              <w:t xml:space="preserve"> и ресурсов,</w:t>
            </w:r>
          </w:p>
          <w:p w:rsidR="00EB3305" w:rsidRDefault="00EB3305">
            <w:pPr>
              <w:pStyle w:val="ConsPlusNormal"/>
              <w:jc w:val="both"/>
            </w:pPr>
            <w:r>
              <w:t>обеспечение доступа граждан к информации о реализации мероприятий, направленных на профилактику экстремизма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  <w:r>
              <w:t>Региональный мониторинг состояния межнациональных и межконфессиональных отношений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r>
              <w:t>комплекс взаимосвязанных инструментов и механизмов систематического и оперативного сбора, хранения, обработки и анализа информации о состоянии межнациональных и межконфессиональных отношений в автономном округе:</w:t>
            </w:r>
          </w:p>
          <w:p w:rsidR="00EB3305" w:rsidRDefault="00EB3305">
            <w:pPr>
              <w:pStyle w:val="ConsPlusNormal"/>
              <w:jc w:val="both"/>
            </w:pPr>
            <w:proofErr w:type="gramStart"/>
            <w:r>
              <w:t xml:space="preserve">проведение социологического исследования состояния межнациональных и межконфессиональных отношений в </w:t>
            </w:r>
            <w:r>
              <w:lastRenderedPageBreak/>
              <w:t>автономном округе методами анкетного опроса, глубинных (экспертных) интервью, в том числе с участием представителей некоммерческих организаций, осуществляющих деятельность в сфере государственной национальной политики, групповых фокусированных интервью, подготовка аналитического отчета по результатам исследования для формирования целевых показателей муниципальных программ муниципальных образований автономного округа;</w:t>
            </w:r>
            <w:proofErr w:type="gramEnd"/>
          </w:p>
          <w:p w:rsidR="00EB3305" w:rsidRDefault="00EB3305">
            <w:pPr>
              <w:pStyle w:val="ConsPlusNormal"/>
              <w:jc w:val="both"/>
            </w:pPr>
            <w:r>
              <w:t>техническое сопровождение регионального сегмента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2.8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  <w:r>
              <w:t>Повышение уровня компетенций представителей некоммерческих организаций и молодежных объединений в сфере реализации государственной национальной политики, профилактики экстремизма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</w:pPr>
            <w:r>
              <w:t>обучающие семинары для представителей национальных общественных объединений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</w:p>
        </w:tc>
      </w:tr>
      <w:tr w:rsidR="00EB3305">
        <w:tc>
          <w:tcPr>
            <w:tcW w:w="11668" w:type="dxa"/>
            <w:gridSpan w:val="4"/>
          </w:tcPr>
          <w:p w:rsidR="00EB3305" w:rsidRDefault="00EB3305">
            <w:pPr>
              <w:pStyle w:val="ConsPlusNormal"/>
              <w:jc w:val="center"/>
            </w:pPr>
            <w:r>
              <w:t>Задача 4. Содействие развитию и консолидации казачества через усиление его роли в решении государственных и муниципальных задач</w:t>
            </w:r>
          </w:p>
        </w:tc>
      </w:tr>
      <w:tr w:rsidR="00EB3305">
        <w:tc>
          <w:tcPr>
            <w:tcW w:w="11668" w:type="dxa"/>
            <w:gridSpan w:val="4"/>
          </w:tcPr>
          <w:p w:rsidR="00EB3305" w:rsidRDefault="00EB3305">
            <w:pPr>
              <w:pStyle w:val="ConsPlusNormal"/>
              <w:jc w:val="center"/>
              <w:outlineLvl w:val="1"/>
            </w:pPr>
            <w:r>
              <w:t>Подпрограмма 3. Развитие российского казачества</w:t>
            </w: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  <w:jc w:val="both"/>
            </w:pPr>
            <w:r>
              <w:t>Субсидия казачьим обществам на возмещение расходов, связанных с реализацией договоров (соглашений) с органами государственной власти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r>
              <w:t>субсидия казачьим обществам на возмещение расходов, связанных с реализацией договоров (соглашений) с органами государственной власти об оказании им содействия в предупреждении и ликвидации чрезвычайных ситуаций, ликвидации последствий стихийных бедствий, гражданской и территориальной обороне, природоохранных мероприятиях, охране общественного порядка, обеспечении экологической и пожарной безопасности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  <w:jc w:val="both"/>
            </w:pPr>
            <w:hyperlink w:anchor="P3886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реализацию мероприятия 3.1 подпрограммы 3 "Развитие российского казачества" государственной программы (приложение 6)</w:t>
            </w: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  <w:jc w:val="both"/>
            </w:pPr>
            <w:r>
              <w:t>Подготовка и обучение членов казачьих обще</w:t>
            </w:r>
            <w:proofErr w:type="gramStart"/>
            <w:r>
              <w:t>ств дл</w:t>
            </w:r>
            <w:proofErr w:type="gramEnd"/>
            <w:r>
              <w:t>я оказания содействия органам государственной власти в осуществлении установленных полномочий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r>
              <w:t xml:space="preserve">обучение членов казачьих обществ по вопросам оказания содействия органам государственной власти в осуществлении установленных полномочий. При этом Депнедра и природных ресурсов Югры без финансирования проводит инструктаж для членов казачьих обществ, привлекаемых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содействия при проведении наземного мониторинга пожарной опасности в лесах, расположенных на территории автономного округа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  <w:jc w:val="both"/>
            </w:pPr>
            <w:r>
              <w:t xml:space="preserve">Предоставление субсидий на возмещение фактических затрат казачьим обществам, участвующим в региональных, федеральных и международных мероприятиях по вопросам развития российского </w:t>
            </w:r>
            <w:r>
              <w:lastRenderedPageBreak/>
              <w:t>казачества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r>
              <w:lastRenderedPageBreak/>
              <w:t>возмещение затрат, возникших в связи с участием представителей казачьих обществ в мероприятиях различного уровня по вопросам развития российского казачества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  <w:jc w:val="both"/>
            </w:pPr>
            <w:hyperlink w:anchor="P3956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реализацию мероприятия 3.3 подпрограммы 3 "Развитие российского казачества" государственной программы (приложение 7)</w:t>
            </w: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  <w:jc w:val="both"/>
            </w:pPr>
            <w:r>
              <w:t>Проведение фестивалей, праздничных концертов казачьих ансамблей, конференций, экспозиций, выставок, направленных на сохранение и развитие культуры, исторических традиций и обычаев российского казачества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r>
              <w:t>фестивали казачьей культуры, праздники и концерты казачьих ансамблей;</w:t>
            </w:r>
          </w:p>
          <w:p w:rsidR="00EB3305" w:rsidRDefault="00EB3305">
            <w:pPr>
              <w:pStyle w:val="ConsPlusNormal"/>
              <w:jc w:val="both"/>
            </w:pPr>
            <w:r>
              <w:t>конференции по вопросам культуры, традиций и обычаев казачества;</w:t>
            </w:r>
          </w:p>
          <w:p w:rsidR="00EB3305" w:rsidRDefault="00EB3305">
            <w:pPr>
              <w:pStyle w:val="ConsPlusNormal"/>
              <w:jc w:val="both"/>
            </w:pPr>
            <w:r>
              <w:t>подготовка экспозиций культуры и быта российского казачества в музеях автономного округа;</w:t>
            </w:r>
          </w:p>
          <w:p w:rsidR="00EB3305" w:rsidRDefault="00EB3305">
            <w:pPr>
              <w:pStyle w:val="ConsPlusNormal"/>
              <w:jc w:val="both"/>
            </w:pPr>
            <w:r>
              <w:t>создание условий для деятельности Окружного Центра казачьей культуры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  <w:jc w:val="both"/>
            </w:pPr>
            <w:r>
              <w:t>Субсидии казачьим обществам на осуществление деятельности по развитию и сохранению самобытной культуры российского казачества и военно-патриотическому воспитанию молодежи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  <w:jc w:val="both"/>
            </w:pPr>
            <w:r>
              <w:t>субсидии казачьим обществам на приобретение:</w:t>
            </w:r>
          </w:p>
          <w:p w:rsidR="00EB3305" w:rsidRDefault="00EB3305">
            <w:pPr>
              <w:pStyle w:val="ConsPlusNormal"/>
              <w:jc w:val="both"/>
            </w:pPr>
            <w:r>
              <w:t>форменного обмундирования;</w:t>
            </w:r>
          </w:p>
          <w:p w:rsidR="00EB3305" w:rsidRDefault="00EB3305">
            <w:pPr>
              <w:pStyle w:val="ConsPlusNormal"/>
              <w:jc w:val="both"/>
            </w:pPr>
            <w:r>
              <w:t>традиционной казачьей одежды;</w:t>
            </w:r>
          </w:p>
          <w:p w:rsidR="00EB3305" w:rsidRDefault="00EB3305">
            <w:pPr>
              <w:pStyle w:val="ConsPlusNormal"/>
              <w:jc w:val="both"/>
            </w:pPr>
            <w:r>
              <w:t>спортивного и туристического инвентаря;</w:t>
            </w:r>
          </w:p>
          <w:p w:rsidR="00EB3305" w:rsidRDefault="00EB3305">
            <w:pPr>
              <w:pStyle w:val="ConsPlusNormal"/>
              <w:jc w:val="both"/>
            </w:pPr>
            <w:r>
              <w:t>учебно-методических и наглядных пособий, аудио-, видеоматериалов, связанных с историей и традициями российского казачества;</w:t>
            </w:r>
          </w:p>
          <w:p w:rsidR="00EB3305" w:rsidRDefault="00EB3305">
            <w:pPr>
              <w:pStyle w:val="ConsPlusNormal"/>
              <w:jc w:val="both"/>
            </w:pPr>
            <w:r>
              <w:t>казачьей символики и атрибутики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  <w:jc w:val="both"/>
            </w:pPr>
            <w:hyperlink w:anchor="P403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реализацию мероприятия 3.5 подпрограммы 3 "Развитие российского казачества" государственной программы (приложение 8)</w:t>
            </w:r>
          </w:p>
        </w:tc>
      </w:tr>
      <w:tr w:rsidR="00EB3305">
        <w:tc>
          <w:tcPr>
            <w:tcW w:w="557" w:type="dxa"/>
          </w:tcPr>
          <w:p w:rsidR="00EB3305" w:rsidRDefault="00EB330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  <w:r>
              <w:t>Информационная поддержка возрождения культуры, традиций и обычаев казачьих обществ</w:t>
            </w:r>
          </w:p>
        </w:tc>
        <w:tc>
          <w:tcPr>
            <w:tcW w:w="3855" w:type="dxa"/>
          </w:tcPr>
          <w:p w:rsidR="00EB3305" w:rsidRDefault="00EB3305">
            <w:pPr>
              <w:pStyle w:val="ConsPlusNormal"/>
            </w:pPr>
            <w:r>
              <w:t>пресс-конференции,</w:t>
            </w:r>
          </w:p>
          <w:p w:rsidR="00EB3305" w:rsidRDefault="00EB3305">
            <w:pPr>
              <w:pStyle w:val="ConsPlusNormal"/>
            </w:pPr>
            <w:r>
              <w:t>размещение материалов в средствах массовой информации о возрождении культуры, традиций, обычаев и текущей деятельности казачьих обществ;</w:t>
            </w:r>
          </w:p>
          <w:p w:rsidR="00EB3305" w:rsidRDefault="00EB3305">
            <w:pPr>
              <w:pStyle w:val="ConsPlusNormal"/>
            </w:pPr>
            <w:r>
              <w:t xml:space="preserve">создание и размещение </w:t>
            </w:r>
            <w:proofErr w:type="gramStart"/>
            <w:r>
              <w:t>теле</w:t>
            </w:r>
            <w:proofErr w:type="gramEnd"/>
            <w:r>
              <w:t>- и радиопередач в эфире,</w:t>
            </w:r>
          </w:p>
          <w:p w:rsidR="00EB3305" w:rsidRDefault="00EB3305">
            <w:pPr>
              <w:pStyle w:val="ConsPlusNormal"/>
            </w:pPr>
            <w:r>
              <w:t>издание исследовательских работ</w:t>
            </w:r>
          </w:p>
        </w:tc>
        <w:tc>
          <w:tcPr>
            <w:tcW w:w="3628" w:type="dxa"/>
          </w:tcPr>
          <w:p w:rsidR="00EB3305" w:rsidRDefault="00EB3305">
            <w:pPr>
              <w:pStyle w:val="ConsPlusNormal"/>
            </w:pPr>
          </w:p>
        </w:tc>
      </w:tr>
      <w:tr w:rsidR="00EB3305">
        <w:tblPrEx>
          <w:tblBorders>
            <w:insideH w:val="nil"/>
          </w:tblBorders>
        </w:tblPrEx>
        <w:tc>
          <w:tcPr>
            <w:tcW w:w="557" w:type="dxa"/>
            <w:tcBorders>
              <w:bottom w:val="nil"/>
            </w:tcBorders>
          </w:tcPr>
          <w:p w:rsidR="00EB3305" w:rsidRDefault="00EB3305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3628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Военно-патриотическое, духовно-нравственное и физическое воспитание казачьей молодежи</w:t>
            </w:r>
          </w:p>
        </w:tc>
        <w:tc>
          <w:tcPr>
            <w:tcW w:w="3855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r>
              <w:t>организация или проведение: региональных этапов смотра-конкурса на звание "Лучший казачий кадетский класс Уральского федерального округа",</w:t>
            </w:r>
          </w:p>
          <w:p w:rsidR="00EB3305" w:rsidRDefault="00EB3305">
            <w:pPr>
              <w:pStyle w:val="ConsPlusNormal"/>
            </w:pPr>
            <w:r>
              <w:t>всероссийской военно-спортивной игры "Казачий сполох";</w:t>
            </w:r>
          </w:p>
          <w:p w:rsidR="00EB3305" w:rsidRDefault="00EB3305">
            <w:pPr>
              <w:pStyle w:val="ConsPlusNormal"/>
            </w:pPr>
            <w:r>
              <w:t>участие команд в межрегиональных и Всероссийских этапах конкурсов;</w:t>
            </w:r>
          </w:p>
          <w:p w:rsidR="00EB3305" w:rsidRDefault="00EB3305">
            <w:pPr>
              <w:pStyle w:val="ConsPlusNormal"/>
            </w:pPr>
            <w:r>
              <w:t>организация конкурса по вопросам развития кадетских классов с казачьим компонентом на базе муниципальных общеобразовательных организаций в автономном округе</w:t>
            </w:r>
          </w:p>
        </w:tc>
        <w:tc>
          <w:tcPr>
            <w:tcW w:w="3628" w:type="dxa"/>
            <w:tcBorders>
              <w:bottom w:val="nil"/>
            </w:tcBorders>
          </w:tcPr>
          <w:p w:rsidR="00EB3305" w:rsidRDefault="00EB3305">
            <w:pPr>
              <w:pStyle w:val="ConsPlusNormal"/>
            </w:pPr>
            <w:hyperlink w:anchor="P4103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грантов </w:t>
            </w:r>
            <w:proofErr w:type="gramStart"/>
            <w:r>
              <w:t>в форме субсидий победителям конкурса по вопросам развития кадетских классов с казачьим компонентом на базе муниципальных общеобразовательных организаций в Ханты-Мансийском</w:t>
            </w:r>
            <w:proofErr w:type="gramEnd"/>
            <w:r>
              <w:t xml:space="preserve"> автономном округе - Югре (приложение 9)</w:t>
            </w:r>
          </w:p>
        </w:tc>
      </w:tr>
      <w:tr w:rsidR="00EB3305">
        <w:tblPrEx>
          <w:tblBorders>
            <w:insideH w:val="nil"/>
          </w:tblBorders>
        </w:tblPrEx>
        <w:tc>
          <w:tcPr>
            <w:tcW w:w="11668" w:type="dxa"/>
            <w:gridSpan w:val="4"/>
            <w:tcBorders>
              <w:top w:val="nil"/>
            </w:tcBorders>
          </w:tcPr>
          <w:p w:rsidR="00EB3305" w:rsidRDefault="00EB3305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03.10.2019 N 349-п)</w:t>
            </w:r>
          </w:p>
        </w:tc>
      </w:tr>
    </w:tbl>
    <w:p w:rsidR="00EB3305" w:rsidRDefault="00EB3305">
      <w:pPr>
        <w:sectPr w:rsidR="00EB33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right"/>
        <w:outlineLvl w:val="0"/>
      </w:pPr>
      <w:r>
        <w:t>Приложение 3</w:t>
      </w:r>
    </w:p>
    <w:p w:rsidR="00EB3305" w:rsidRDefault="00EB3305">
      <w:pPr>
        <w:pStyle w:val="ConsPlusNormal"/>
        <w:jc w:val="right"/>
      </w:pPr>
      <w:r>
        <w:t>к постановлению</w:t>
      </w:r>
    </w:p>
    <w:p w:rsidR="00EB3305" w:rsidRDefault="00EB3305">
      <w:pPr>
        <w:pStyle w:val="ConsPlusNormal"/>
        <w:jc w:val="right"/>
      </w:pPr>
      <w:r>
        <w:t>Правительства</w:t>
      </w:r>
    </w:p>
    <w:p w:rsidR="00EB3305" w:rsidRDefault="00EB3305">
      <w:pPr>
        <w:pStyle w:val="ConsPlusNormal"/>
        <w:jc w:val="right"/>
      </w:pPr>
      <w:r>
        <w:t>Ханты-Мансийского</w:t>
      </w:r>
    </w:p>
    <w:p w:rsidR="00EB3305" w:rsidRDefault="00EB3305">
      <w:pPr>
        <w:pStyle w:val="ConsPlusNormal"/>
        <w:jc w:val="right"/>
      </w:pPr>
      <w:r>
        <w:t>автономного округа - Югры</w:t>
      </w:r>
    </w:p>
    <w:p w:rsidR="00EB3305" w:rsidRDefault="00EB3305">
      <w:pPr>
        <w:pStyle w:val="ConsPlusNormal"/>
        <w:jc w:val="right"/>
      </w:pPr>
      <w:r>
        <w:t>от 5 октября 2018 года N 349-п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</w:pPr>
      <w:bookmarkStart w:id="5" w:name="P3502"/>
      <w:bookmarkEnd w:id="5"/>
      <w:r>
        <w:t>ПОРЯДОК</w:t>
      </w:r>
    </w:p>
    <w:p w:rsidR="00EB3305" w:rsidRDefault="00EB3305">
      <w:pPr>
        <w:pStyle w:val="ConsPlusTitle"/>
        <w:jc w:val="center"/>
      </w:pPr>
      <w:r>
        <w:t>ПРЕДОСТАВЛЕНИЯ СУБСИДИИ НА РЕАЛИЗАЦИЮ МЕРОПРИЯТИЯ 1.1</w:t>
      </w:r>
    </w:p>
    <w:p w:rsidR="00EB3305" w:rsidRDefault="00EB3305">
      <w:pPr>
        <w:pStyle w:val="ConsPlusTitle"/>
        <w:jc w:val="center"/>
      </w:pPr>
      <w:r>
        <w:t xml:space="preserve">ПОДПРОГРАММЫ 1 "ГАРМОНИЗАЦИЯ </w:t>
      </w:r>
      <w:proofErr w:type="gramStart"/>
      <w:r>
        <w:t>МЕЖНАЦИОНАЛЬНЫХ</w:t>
      </w:r>
      <w:proofErr w:type="gramEnd"/>
    </w:p>
    <w:p w:rsidR="00EB3305" w:rsidRDefault="00EB3305">
      <w:pPr>
        <w:pStyle w:val="ConsPlusTitle"/>
        <w:jc w:val="center"/>
      </w:pPr>
      <w:r>
        <w:t>И МЕЖКОНФЕССИОНАЛЬНЫХ ОТНОШЕНИЙ" ГОСУДАРСТВЕННОЙ ПРОГРАММЫ</w:t>
      </w:r>
    </w:p>
    <w:p w:rsidR="00EB3305" w:rsidRDefault="00EB3305">
      <w:pPr>
        <w:pStyle w:val="ConsPlusTitle"/>
        <w:jc w:val="center"/>
      </w:pPr>
      <w:r>
        <w:t>(ДАЛЕЕ - ПОРЯДОК)</w:t>
      </w:r>
    </w:p>
    <w:p w:rsidR="00EB3305" w:rsidRDefault="00EB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15.02.2019 N 43-п)</w:t>
            </w:r>
          </w:p>
        </w:tc>
      </w:tr>
    </w:tbl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 xml:space="preserve">1. Порядок определяет цели, условия и процедуру предоставления субсидии некоммерческим организациям для реализации мероприятия 1.1 "Государственно-общественное партнерство (предоставление субсидий для возмещения фактических затрат некоммерческим организациям, участвующим во всероссийских и региональных мероприятиях по реализации государственной национальной политики)" </w:t>
      </w:r>
      <w:hyperlink w:anchor="P243" w:history="1">
        <w:r>
          <w:rPr>
            <w:color w:val="0000FF"/>
          </w:rPr>
          <w:t>подпрограммы 1</w:t>
        </w:r>
      </w:hyperlink>
      <w:r>
        <w:t xml:space="preserve"> "Гармонизация межнациональных и межконфессиональных отношений" государственной программы (далее - субсидия).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2. Субсидия предоставляется некоммерческим организациям в целях: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привлечения представителей некоммерческих организаций к участию в региональных, всероссийских мероприятиях в сфере государственной национальной политики, профилактики экстремизма (далее - мероприятия);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обеспечения условий по представлению на региональном и всероссийском </w:t>
      </w:r>
      <w:proofErr w:type="gramStart"/>
      <w:r>
        <w:t>уровнях</w:t>
      </w:r>
      <w:proofErr w:type="gramEnd"/>
      <w:r>
        <w:t xml:space="preserve"> положительного опыта некоммерческих организаций, реализующих в автономном округе проекты в сфере государственной национальной политики и профилактики экстремизма.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3. В целях отбора некоммерческих организаций для участия в мероприятиях Депполитики Югры формирует приказом комиссию из числа представителей исполнительных органов государственной власти - соисполнителей государственной программы (далее - Комиссия). Положение о Комисс</w:t>
      </w:r>
      <w:proofErr w:type="gramStart"/>
      <w:r>
        <w:t>ии и ее</w:t>
      </w:r>
      <w:proofErr w:type="gramEnd"/>
      <w:r>
        <w:t xml:space="preserve"> состав утверждает приказом Депполитики Югры.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4. Субсидия предоставляется некоммерческим организациям на возмещение фактических затрат (расходных обязательств), связанных с участием в мероприятии представителя некоммерческой организации, по следующим видам расходов: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а) оплата проезда к месту проведения мероприятия и обратно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возмещается по подтвержденным фактическим затратам, но не выше стоимости проезда: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воздушным транспортом - тариф проезда в салоне экономического класса;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lastRenderedPageBreak/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железнодорожным транспортом - тариф проезда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сидения, вагоне типа "П";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автомобильным транспортом - тариф проезда в автобусе общего типа;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личным транспортом - в порядке, предусмотренном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Думы автономного округа от 1 марта 2010 года N 4676 "Об утверждении официального толкования отдельных норм Закона Ханты-Мансийского автономного округа - Югры "О гарантиях и компенсациях для лиц, проживающих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Югре, работающих в государственных органах и государственных учреждениях Ханты-Мансийского автономного округа - Югры";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б) оплата найма жилого помещения в период участия в мероприятии, но не выше 3500 рублей в сутки на человека.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Фактические затраты могут быть осуществлены представителем некоммерческой организации, принявшим участие в мероприятии.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5. Некоммерческие организации должны соответствовать следующим совокупным требованиям: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5.1. Наличие государственной регистрации в качестве юридического лица в Управлении Министерства юстиции Российской Федерации по автономному округу.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5.2. Деятельность направлена на реализацию задач, определенных Стратегией государственной национальной политики Российской Федерации на период до 2025 года и Стратегией противодействия экстремизму Российской Федерации до 2025 года, и проектов (мероприятий), соответствующих тематике мероприятий.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5.3. Представители некоммерческой организации включены в установленном порядке в состав:</w:t>
      </w:r>
    </w:p>
    <w:p w:rsidR="00EB3305" w:rsidRDefault="00EB3305">
      <w:pPr>
        <w:pStyle w:val="ConsPlusNormal"/>
        <w:spacing w:before="220"/>
        <w:ind w:firstLine="540"/>
        <w:jc w:val="both"/>
      </w:pPr>
      <w:proofErr w:type="gramStart"/>
      <w:r>
        <w:t>Координационного совета по делам национально-культурных автономий и взаимодействию с религиозными объединениями при Правительстве автономного округа или Совета представителей коренных малочисленных народов Севера автономного округа при Правительстве автономного округа, или координационных, совещательных органов по вопросам взаимодействия с национальными общественными объединениями и религиозными организациями по профилактике экстремизма при органах местного самоуправления муниципальных образований автономного округа;</w:t>
      </w:r>
      <w:proofErr w:type="gramEnd"/>
    </w:p>
    <w:p w:rsidR="00EB3305" w:rsidRDefault="00EB3305">
      <w:pPr>
        <w:pStyle w:val="ConsPlusNormal"/>
        <w:spacing w:before="220"/>
        <w:ind w:firstLine="540"/>
        <w:jc w:val="both"/>
      </w:pPr>
      <w:r>
        <w:t>либо некоммерческая организация является региональным отделением общероссийской общественной организации, осуществляющей деятельность в сфере реализации государственной национальной политики и профилактики экстремизма на территории автономного округа.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6. Субсидия предоставляется некоммерческим организациям, представители которых приняли участие в мероприятиях, отвечающих следующим совокупным признакам: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6.1. Мероприятия направлены на достижение целей и решение задач, определенных Стратегией государственной национальной политики Российской Федерации на период до 2025 года, Стратегией противодействия экстремизму Российской Федерации до 2025 года.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6.2. Организаторами мероприятия являются региональные, всероссийские общественные </w:t>
      </w:r>
      <w:r>
        <w:lastRenderedPageBreak/>
        <w:t>объединения, а также иные некоммерческие организации, осуществляющие деятельность в сфере государственной национальной политики, профилактики экстремизма, федеральные органы государственной власти, органы государственной власти субъектов Российской Федерации, Общественная палата Российской Федерации.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7. Субсидию предоставляет Депполитики Югры в пределах лимитов бюджетных обязательств на предоставление субсидии, утвержденных в установленном порядке на соответствующий финансовый год.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6" w:name="P3534"/>
      <w:bookmarkEnd w:id="6"/>
      <w:r>
        <w:t>8. Для получения субсидии руководитель некоммерческой организации после участия представителя некоммерческой организации в мероприятии направляет в Депполитики Югры заявку о предоставлении субсидии (далее - заявка).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К заявке прилагает следующие документы: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представителя некоммерческой организации, принявшего участие в мероприятии;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подтверждение организатора мероприятия с печатью и подписью представителя организатора мероприятия об участии представителя некоммерческой организации в мероприятии;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авансовый отчет о произведенных некоммерческой организацией или ее представителем расходах, с приложением копий документов, подтверждающих затраты на оплату проезда к месту проведения мероприятия и обратно, наем жилого помещения.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Копии представляемых документов должны быть заверены надлежащим образом и скреплены печатью некоммерческой организации.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9. Заявку и документы, предусмотренные </w:t>
      </w:r>
      <w:hyperlink w:anchor="P3534" w:history="1">
        <w:r>
          <w:rPr>
            <w:color w:val="0000FF"/>
          </w:rPr>
          <w:t>пунктом 8</w:t>
        </w:r>
      </w:hyperlink>
      <w:r>
        <w:t xml:space="preserve"> Порядка, некоммерческая организация представляет в Депполитики Югры не позднее 90 календарных дней со дня окончания мероприятия.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10. При рассмотрении документов, представляемых некоммерческой организацией, Депполитики Югры в порядке межведомственного информационного взаимодействия, установленном федеральным законодательством, запрашивает следующие документы: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Указанные документы некоммерческая организация вправе представить самостоятельно.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7" w:name="P3545"/>
      <w:bookmarkEnd w:id="7"/>
      <w:r>
        <w:t xml:space="preserve">11. Депполитики Югры в течение 10 рабочих дней со дня регистрации заявки принимает решение в форме приказа о результатах рассмотрения и соблюдении требований, предусмотренных </w:t>
      </w:r>
      <w:hyperlink w:anchor="P3546" w:history="1">
        <w:r>
          <w:rPr>
            <w:color w:val="0000FF"/>
          </w:rPr>
          <w:t>пунктом 12</w:t>
        </w:r>
      </w:hyperlink>
      <w:r>
        <w:t xml:space="preserve"> Порядка.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8" w:name="P3546"/>
      <w:bookmarkEnd w:id="8"/>
      <w:r>
        <w:t>12. По состоянию на дату регистрации заявления и документов некоммерческая организация (далее - получатель субсидии) должна соответствовать следующим совокупным требованиям: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12.1.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12.2. Отсутствие просроченной задолженности по возврату в бюджет автономного округа </w:t>
      </w:r>
      <w:r>
        <w:lastRenderedPageBreak/>
        <w:t xml:space="preserve">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автономного округа.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12.3. Ненахождение в процессе реорганизации, ликвидации, банкротства.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13. Основаниями для отказа в предоставлении субсидии являются: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документов, предусмотренных </w:t>
      </w:r>
      <w:hyperlink w:anchor="P3534" w:history="1">
        <w:r>
          <w:rPr>
            <w:color w:val="0000FF"/>
          </w:rPr>
          <w:t>пунктом 8</w:t>
        </w:r>
      </w:hyperlink>
      <w:r>
        <w:t xml:space="preserve"> Порядка;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недостоверность представленных документов;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несоответствие получателя субсидии требованиям, предусмотренным </w:t>
      </w:r>
      <w:hyperlink w:anchor="P3546" w:history="1">
        <w:r>
          <w:rPr>
            <w:color w:val="0000FF"/>
          </w:rPr>
          <w:t>пунктом 12</w:t>
        </w:r>
      </w:hyperlink>
      <w:r>
        <w:t xml:space="preserve"> Порядка.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14. При отсутствии оснований для отказа в предоставлении субсидии Депполитики Югры на основании приказа, указанного в </w:t>
      </w:r>
      <w:hyperlink w:anchor="P3545" w:history="1">
        <w:r>
          <w:rPr>
            <w:color w:val="0000FF"/>
          </w:rPr>
          <w:t>пункте 11</w:t>
        </w:r>
      </w:hyperlink>
      <w:r>
        <w:t xml:space="preserve"> Порядка, в течение 30 календарных дней со дня регистрации заявки заключает с получателем субсидии договор в соответствии с типовой формой, утвержденной Департаментом финансов автономного округа (далее - договор), который должен содержать следующие положения: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целевое назначение предоставления субсидии;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порядок перечисления субсидии;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банковские реквизиты для перечисления субсидии;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соблюдением условий договора, в том числе за представлением отчетности;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Депполитики Югры и органами государственного финансового контроля проверок соблюдения условий, целей и порядка предоставления субсидии.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15. В случае недостаточности лимитов бюджетных обязатель</w:t>
      </w:r>
      <w:proofErr w:type="gramStart"/>
      <w:r>
        <w:t>ств дл</w:t>
      </w:r>
      <w:proofErr w:type="gramEnd"/>
      <w:r>
        <w:t>я возмещения расходов в текущем году в полном объеме договор заключается на сумму в пределах имеющихся лимитов бюджетных обязательств на предоставление субсидии. Договор на оставшуюся сумму субсидии заключается в следующем финансовом году.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16. Субсидию перечисляет Депполитики Югры получателю субсидии в течение 5 рабочих дней со дня заключения договора.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17. Депполитики Югры и органы государственного финансового контроля осуществляют обязательную проверку соблюдения условий, целей и порядка предоставления субсидии.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18. В случае нарушения условий, целей и порядка предоставления субсидии, в том числе выявленных по фактам проверок, проведенных Депполитики Югры и органами государственного финансового контроля, получатель субсидии возвращает субсидию в бюджет автономного округа на основании письменного требования о ее возврате, направленного Депполитики Югры.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19. Получатель субсидии в течение 10 календарных дней со дня получения требования о возврате субсидии обязан осуществить возврат на реквизиты, указанные в требовании.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20. О возврате субсидии получатель субсидии письменно уведомляет Депполитики Югры с приложением копии платежного поручения.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lastRenderedPageBreak/>
        <w:t>21. В случае неисполнения получателем субсидии требования о возврате субсидии, сумма субсидии, израсходованная с нарушением целей, условий ее предоставления, подлежит взысканию в судебном порядке в соответствии с законодательством Российской Федерации.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22. Получатель субсидии несет полную ответственность за соблюдение целей и условий предоставления субсидии согласно законодательству Российской Федерации.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right"/>
        <w:outlineLvl w:val="0"/>
      </w:pPr>
      <w:r>
        <w:t>Приложение 4</w:t>
      </w:r>
    </w:p>
    <w:p w:rsidR="00EB3305" w:rsidRDefault="00EB3305">
      <w:pPr>
        <w:pStyle w:val="ConsPlusNormal"/>
        <w:jc w:val="right"/>
      </w:pPr>
      <w:r>
        <w:t>к постановлению</w:t>
      </w:r>
    </w:p>
    <w:p w:rsidR="00EB3305" w:rsidRDefault="00EB3305">
      <w:pPr>
        <w:pStyle w:val="ConsPlusNormal"/>
        <w:jc w:val="right"/>
      </w:pPr>
      <w:r>
        <w:t>Правительства</w:t>
      </w:r>
    </w:p>
    <w:p w:rsidR="00EB3305" w:rsidRDefault="00EB3305">
      <w:pPr>
        <w:pStyle w:val="ConsPlusNormal"/>
        <w:jc w:val="right"/>
      </w:pPr>
      <w:r>
        <w:t>Ханты-Мансийского</w:t>
      </w:r>
    </w:p>
    <w:p w:rsidR="00EB3305" w:rsidRDefault="00EB3305">
      <w:pPr>
        <w:pStyle w:val="ConsPlusNormal"/>
        <w:jc w:val="right"/>
      </w:pPr>
      <w:r>
        <w:t>автономного округа - Югры</w:t>
      </w:r>
    </w:p>
    <w:p w:rsidR="00EB3305" w:rsidRDefault="00EB3305">
      <w:pPr>
        <w:pStyle w:val="ConsPlusNormal"/>
        <w:jc w:val="right"/>
      </w:pPr>
      <w:r>
        <w:t>от 5 октября 2018 года N 349-п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</w:pPr>
      <w:bookmarkStart w:id="9" w:name="P3581"/>
      <w:bookmarkEnd w:id="9"/>
      <w:r>
        <w:t>ПОРЯДОК</w:t>
      </w:r>
    </w:p>
    <w:p w:rsidR="00EB3305" w:rsidRDefault="00EB3305">
      <w:pPr>
        <w:pStyle w:val="ConsPlusTitle"/>
        <w:jc w:val="center"/>
      </w:pPr>
      <w:r>
        <w:t>ПРЕДОСТАВЛЕНИЯ СРЕДСТВ БЮДЖЕТА АВТОНОМНОГО ОКРУГА МЕСТНЫМ</w:t>
      </w:r>
    </w:p>
    <w:p w:rsidR="00EB3305" w:rsidRDefault="00EB3305">
      <w:pPr>
        <w:pStyle w:val="ConsPlusTitle"/>
        <w:jc w:val="center"/>
      </w:pPr>
      <w:r>
        <w:t>БЮДЖЕТАМ ДЛЯ РЕАЛИЗАЦИИ МЕРОПРИЯТИЯ 1.10 ПОДПРОГРАММЫ 1</w:t>
      </w:r>
    </w:p>
    <w:p w:rsidR="00EB3305" w:rsidRDefault="00EB3305">
      <w:pPr>
        <w:pStyle w:val="ConsPlusTitle"/>
        <w:jc w:val="center"/>
      </w:pPr>
      <w:r>
        <w:t xml:space="preserve">"ГАРМОНИЗАЦИЯ </w:t>
      </w:r>
      <w:proofErr w:type="gramStart"/>
      <w:r>
        <w:t>МЕЖНАЦИОНАЛЬНЫХ</w:t>
      </w:r>
      <w:proofErr w:type="gramEnd"/>
      <w:r>
        <w:t xml:space="preserve"> И МЕЖКОНФЕССИОНАЛЬНЫХ</w:t>
      </w:r>
    </w:p>
    <w:p w:rsidR="00EB3305" w:rsidRDefault="00EB3305">
      <w:pPr>
        <w:pStyle w:val="ConsPlusTitle"/>
        <w:jc w:val="center"/>
      </w:pPr>
      <w:r>
        <w:t>ОТНОШЕНИЙ" (ДАЛЕЕ - ПОРЯДОК)</w:t>
      </w:r>
    </w:p>
    <w:p w:rsidR="00EB3305" w:rsidRDefault="00EB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15.02.2019 N 43-п;</w:t>
            </w:r>
          </w:p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03.10.2019 N 349-п)</w:t>
            </w:r>
          </w:p>
        </w:tc>
      </w:tr>
    </w:tbl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bookmarkStart w:id="10" w:name="P3590"/>
      <w:bookmarkEnd w:id="10"/>
      <w:r>
        <w:t xml:space="preserve">1. </w:t>
      </w:r>
      <w:proofErr w:type="gramStart"/>
      <w:r>
        <w:t>Порядок определяет условия и процедуру распределения и предоставления субсидии из бюджета автономного округа бюджетам городских округов, муниципальных районов автономного округа (далее - местные бюджеты) в целях софинансирования расходных обязательств муниципальных образований автономного округа, связанных с реализацией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 (далее - субсидия), правила и условия заключения соглашений</w:t>
      </w:r>
      <w:proofErr w:type="gramEnd"/>
      <w:r>
        <w:t xml:space="preserve"> на предоставление субсидии и </w:t>
      </w:r>
      <w:proofErr w:type="gramStart"/>
      <w:r>
        <w:t>контроль за</w:t>
      </w:r>
      <w:proofErr w:type="gramEnd"/>
      <w:r>
        <w:t xml:space="preserve"> ее использованием.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Средства бюджета автономного округа предоставляются в виде субсидии из бюджета автономного округа местным бюджетам в пределах бюджетных ассигнований, предусмотренных в законе автономного округа о бюджете автономного округа на текущий финансовый год и плановый период, и лимитов бюджетных обязательств для реализации мероприятия 1.10 "Обеспечение условий по реализации в муниципальных образованиях единой государственной политики в сфере межнациональных отношений и профилактики экстремизма" </w:t>
      </w:r>
      <w:hyperlink w:anchor="P243" w:history="1">
        <w:r>
          <w:rPr>
            <w:color w:val="0000FF"/>
          </w:rPr>
          <w:t>подпрограммы</w:t>
        </w:r>
        <w:proofErr w:type="gramEnd"/>
        <w:r>
          <w:rPr>
            <w:color w:val="0000FF"/>
          </w:rPr>
          <w:t xml:space="preserve"> 1</w:t>
        </w:r>
      </w:hyperlink>
      <w:r>
        <w:t xml:space="preserve"> "Гармонизация межнациональных и межконфессиональных отношений" государственной программы.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2.1. Субсидия предоставляется местным бюджетам для реализации мероприятий, указанных в </w:t>
      </w:r>
      <w:hyperlink w:anchor="P3613" w:history="1">
        <w:r>
          <w:rPr>
            <w:color w:val="0000FF"/>
          </w:rPr>
          <w:t>подпункте 4.2 пункта 4</w:t>
        </w:r>
      </w:hyperlink>
      <w:r>
        <w:t xml:space="preserve"> Порядка. Перечень мероприятий, на которые предоставляется субсидия (далее - перечень мероприятий), согласовывается с Департаментом внутренней политики автономного округа (далее - Департамент) при заключении соглашения на предоставление субсидии (далее - Соглашение) в соответствии с </w:t>
      </w:r>
      <w:hyperlink w:anchor="P3661" w:history="1">
        <w:r>
          <w:rPr>
            <w:color w:val="0000FF"/>
          </w:rPr>
          <w:t>пунктами 15</w:t>
        </w:r>
      </w:hyperlink>
      <w:r>
        <w:t xml:space="preserve">, </w:t>
      </w:r>
      <w:hyperlink w:anchor="P3665" w:history="1">
        <w:r>
          <w:rPr>
            <w:color w:val="0000FF"/>
          </w:rPr>
          <w:t>16</w:t>
        </w:r>
      </w:hyperlink>
      <w:r>
        <w:t xml:space="preserve"> Порядка.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11" w:name="P3593"/>
      <w:bookmarkEnd w:id="11"/>
      <w:r>
        <w:t xml:space="preserve">2.2. </w:t>
      </w:r>
      <w:proofErr w:type="gramStart"/>
      <w:r>
        <w:t xml:space="preserve">В перечень мероприятий включается проведение: форумов, фестивалей, конкурсов, </w:t>
      </w:r>
      <w:r>
        <w:lastRenderedPageBreak/>
        <w:t>конференций, "круглых столов", выставок-презентаций, семинаров, курсов повышения квалификации, культурно-массовых, общественно значимых, просветительских и иных мероприятий в сфере государственной национальной политики, профилактики экстремизма, в том числе направленных на:</w:t>
      </w:r>
      <w:proofErr w:type="gramEnd"/>
    </w:p>
    <w:p w:rsidR="00EB3305" w:rsidRDefault="00EB3305">
      <w:pPr>
        <w:pStyle w:val="ConsPlusNormal"/>
        <w:spacing w:before="220"/>
        <w:ind w:firstLine="540"/>
        <w:jc w:val="both"/>
      </w:pPr>
      <w:r>
        <w:t>оказание содействия некоммерческим организациям на реализацию проектов в сфере государственной национальной политики, профилактики экстремизма;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обеспечение просветительской деятельности в целях противодействия распространению религиозного радикализма;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поддержку и популяризацию русского языка как государственного языка Российской Федерации и средства межнационального общения;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содействие национально-культурному развитию, расширению государственной поддержки национальных видов спорта, проведение спортивных состязаний и спартакиад народов России;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создание условий для сохранения и развития языков народов России, проживающих в автономном округе;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обеспечение участия некоммерческих организаций в мероприятиях, реализуемых в соответствии с муниципальными программами, в сфере государственной национальной политики, профилактики экстремизма;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профилактику ксенофобии и экстремизма, подготовку кадров в сфере формирования установок толерантного сознания и межкультурного воспитания;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повышение уровня компетенций и активизации деятельности лидеров молодежных объединений в деятельности по обеспечению межнационального и межконфессионального согласия, профилактике экстремизма, продвижения лучших практик по реализации проектов в сфере государственной национальной политики в автономном округе;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повышение профессионального уровня специалистов по вопросам государственной национальной политики и профилактики экстремизма;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создание условий для социальной и культурной адаптации мигрантов;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осуществление мониторинга состояния межнациональных и межконфессиональных отношений в муниципальном образовании;</w:t>
      </w:r>
    </w:p>
    <w:p w:rsidR="00EB3305" w:rsidRDefault="00EB3305">
      <w:pPr>
        <w:pStyle w:val="ConsPlusNormal"/>
        <w:spacing w:before="220"/>
        <w:ind w:firstLine="540"/>
        <w:jc w:val="both"/>
      </w:pPr>
      <w:proofErr w:type="gramStart"/>
      <w:r>
        <w:t>осуществление комплекса мер по формированию и реализации стратегии социальной рекламы, поддержке проектов средств массовой информации по производству и трансляции телевизионных и радиопрограмм, изданию информационно-методической литературы, создания и развития интернет-проектов и ресурсов, направленных на популяризацию идей гражданского единства, межнационального и межконфессионального мира и согласия, а также обеспечению доступа граждан к информации о реализации государственной национальной политики и профилактике экстремизма путем взаимодействия</w:t>
      </w:r>
      <w:proofErr w:type="gramEnd"/>
      <w:r>
        <w:t xml:space="preserve"> с печатными и сетевыми средствами массовой информации.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12" w:name="P3606"/>
      <w:bookmarkEnd w:id="12"/>
      <w:r>
        <w:t>3. Субсидия предоставляется в целях: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повышения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автономного округа (далее - муниципальные образования) при реализации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lastRenderedPageBreak/>
        <w:t>поощрения за достижение наилучших значений показателей в указанной сфере.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13" w:name="P3609"/>
      <w:bookmarkEnd w:id="13"/>
      <w:r>
        <w:t>4. Субсидия предоставляется при соблюдении следующих условий: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4.1. Наличие муниципального правового акта, предусматривающего: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перечень мероприятий, соответствующих </w:t>
      </w:r>
      <w:hyperlink w:anchor="P3590" w:history="1">
        <w:r>
          <w:rPr>
            <w:color w:val="0000FF"/>
          </w:rPr>
          <w:t>пункту 1</w:t>
        </w:r>
      </w:hyperlink>
      <w:r>
        <w:t xml:space="preserve"> и </w:t>
      </w:r>
      <w:hyperlink w:anchor="P3593" w:history="1">
        <w:r>
          <w:rPr>
            <w:color w:val="0000FF"/>
          </w:rPr>
          <w:t>подпункту 2.2 пункта 2</w:t>
        </w:r>
      </w:hyperlink>
      <w:r>
        <w:t xml:space="preserve"> Порядка (далее - мероприятия), на софинансирование которых предоставляется субсидия, и расходные обязательства муниципального образования для их реализации;</w:t>
      </w:r>
    </w:p>
    <w:p w:rsidR="00EB3305" w:rsidRDefault="00EB3305">
      <w:pPr>
        <w:pStyle w:val="ConsPlusNormal"/>
        <w:spacing w:before="220"/>
        <w:ind w:firstLine="540"/>
        <w:jc w:val="both"/>
      </w:pPr>
      <w:proofErr w:type="gramStart"/>
      <w:r>
        <w:t>показатели, аналогичные показателям государственной программы "Доля граждан, положительно оценивающих состояние межнациональных отношений в автономном округе", "Количество участников мероприятий, направленных на укрепление общероссийского гражданского единства, проживающих в автономном округе", "Численность участников мероприятий, направленных на этнокультурное развитие народов России, проживающих в автономном округе".</w:t>
      </w:r>
      <w:proofErr w:type="gramEnd"/>
    </w:p>
    <w:p w:rsidR="00EB3305" w:rsidRDefault="00EB3305">
      <w:pPr>
        <w:pStyle w:val="ConsPlusNormal"/>
        <w:spacing w:before="220"/>
        <w:ind w:firstLine="540"/>
        <w:jc w:val="both"/>
      </w:pPr>
      <w:bookmarkStart w:id="14" w:name="P3613"/>
      <w:bookmarkEnd w:id="14"/>
      <w:r>
        <w:t>4.2. Соответствие содержания мероприятий основным направлениям и задачам Стратегии государственной национальной политики Российской Федерации на период до 2025 года и Стратегии противодействия экстремизму Российской Федерации до 2025 года, в том числе: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обеспечение межнационального мира и согласия, гармонизация межнациональных (межэтнических отношений);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создание условий для социальной и культурной адаптации мигрантов;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укрепление единства и духовной общности многонационального народа Российской Федерации (российской нации);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сохранение и развитие этнокультурного многообразия народов России;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информационное обеспечение реализации государственной национальной политики Российской Федерации;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формирование системы профилактики экстремизма и предупреждения межнациональных конфликтов.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4.3. Предельный уровень софинансирования из бюджета автономного округа бюджетам городских округов, муниципальных районов автономного округа: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для муниципальных образований с коэффициентом уровня расчетной бюджетной обеспеченности до 0,6 за счет средств бюджета автономного округа - не более 50% от общего объема финансового обеспечения мероприятий, на которые предоставляется субсидия; за счет средств муниципального бюджета - не менее 50% от общего объема финансового обеспечения мероприятий, на которые предоставляется субсидия;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для муниципальных образований с коэффициентом уровня расчетной бюджетной обеспеченности от 0,6 до 1 - не более 40% от общего объема финансового обеспечения мероприятий, на которые предоставляется субсидия; за счет средств муниципального бюджета - не менее 60% от общего объема финансового обеспечения мероприятий, на которые предоставляется субсидия;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для муниципальных образований с коэффициентом уровня расчетной бюджетной </w:t>
      </w:r>
      <w:r>
        <w:lastRenderedPageBreak/>
        <w:t>обеспеченности &gt; 1 - не более 30% от общего объема финансового обеспечения мероприятий, на которые предоставляется субсидия; за счет средств муниципального бюджета - не менее 70% от общего объема финансового обеспечения мероприятий, на которые предоставляется субсидия.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Критерием отбора муниципальных образований для предоставления субсидии является значение показателя "Доля граждан, положительно оценивающих состояние межнациональных отношений в автономном округе", определяемого по результатам ежегодных социологических исследований о состоянии межнациональных и межконфессиональных отношений в автономном округе, проводимых Департаментом общественных и внешних связей Югры в ходе реализации мероприятия 2.7 государственной программы, в предшествующем году (далее - Показатель, социологические исследования).</w:t>
      </w:r>
      <w:proofErr w:type="gramEnd"/>
    </w:p>
    <w:p w:rsidR="00EB3305" w:rsidRDefault="00EB33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03.10.2019 N 349-п)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6. Департамент в срок до 1 июня года, предшествующего плановому, формирует список муниципальных образований и перечень из 12 получателей субсидии в следующем финансовом году (далее - Перечень).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Муниципальные образования располагаются в соответствующем списке муниципальных образований и в Перечне в порядке убывания значения Показателя.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7. В Перечень включаются 3 муниципальных образования, в которых в отчетном году достигнуто наилучшее значение Показателя (далее - первая группа), и 9 муниципальных образований, достигших наименьшего значения Показателя (далее - вторая группа).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Субсидия предоставляется муниципальным образованиям, включенным в Перечень (далее - получатели субсидии) с соблюдением условий, определенных </w:t>
      </w:r>
      <w:hyperlink w:anchor="P3609" w:history="1">
        <w:r>
          <w:rPr>
            <w:color w:val="0000FF"/>
          </w:rPr>
          <w:t>пунктом 4</w:t>
        </w:r>
      </w:hyperlink>
      <w:r>
        <w:t xml:space="preserve"> Порядка.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В случае равенства значений Показателей у двух и более муниципальных образований, для определения получателя субсидии применяется дополнительный критерий отбора - значение показателя "Доля граждан, положительно оценивающих состояние межконфессиональных отношений в автономном округе", определяемого по результатам социологических исследований.</w:t>
      </w:r>
    </w:p>
    <w:p w:rsidR="00EB3305" w:rsidRDefault="00EB3305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03.10.2019 N 349-п)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15" w:name="P3633"/>
      <w:bookmarkEnd w:id="15"/>
      <w:r>
        <w:t>8. Распределение субсидии осуществляется в следующих размерах: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а) 20% - между муниципальными образованиями автономного округа, входящими в первую группу.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б) 80% - между муниципальными образованиями автономного округа, входящими во вторую группу.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9. Размер субсидии, предоставляемой муниципальному образованию автономного округа: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а) входящему в первую группу (СУБ</w:t>
      </w:r>
      <w:proofErr w:type="gramStart"/>
      <w:r>
        <w:t>1</w:t>
      </w:r>
      <w:proofErr w:type="gramEnd"/>
      <w:r>
        <w:t>), определяется по формуле: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>СУБ</w:t>
      </w:r>
      <w:proofErr w:type="gramStart"/>
      <w:r>
        <w:t>1</w:t>
      </w:r>
      <w:proofErr w:type="gramEnd"/>
      <w:r>
        <w:t xml:space="preserve"> = 0,2 x СУБ / Н1,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>где: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СУБ - размер бюджетных ассигнований, предусмотренных в бюджете автономного округа на соответствующий финансовый год для предоставления субсидий местным бюджетам на цели, указанные в </w:t>
      </w:r>
      <w:hyperlink w:anchor="P3606" w:history="1">
        <w:r>
          <w:rPr>
            <w:color w:val="0000FF"/>
          </w:rPr>
          <w:t>пункте 3</w:t>
        </w:r>
      </w:hyperlink>
      <w:r>
        <w:t xml:space="preserve"> Порядка;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</w:t>
      </w:r>
      <w:proofErr w:type="gramStart"/>
      <w:r>
        <w:t>1</w:t>
      </w:r>
      <w:proofErr w:type="gramEnd"/>
      <w:r>
        <w:t xml:space="preserve"> - количество муниципальных образований, входящих в первую группу.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lastRenderedPageBreak/>
        <w:t>б) входящему во вторую группу (СУБ</w:t>
      </w:r>
      <w:proofErr w:type="gramStart"/>
      <w:r>
        <w:t>2</w:t>
      </w:r>
      <w:proofErr w:type="gramEnd"/>
      <w:r>
        <w:t>), определяется по формуле: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>СУБ</w:t>
      </w:r>
      <w:proofErr w:type="gramStart"/>
      <w:r>
        <w:t>2</w:t>
      </w:r>
      <w:proofErr w:type="gramEnd"/>
      <w:r>
        <w:t xml:space="preserve"> = 0,8 x СУБ / Н2,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>где: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СУБ - размер бюджетных ассигнований, предусмотренных в бюджете автономного округа на соответствующий финансовый год для предоставления субсидии местным бюджетам на цели, указанные в </w:t>
      </w:r>
      <w:hyperlink w:anchor="P3606" w:history="1">
        <w:r>
          <w:rPr>
            <w:color w:val="0000FF"/>
          </w:rPr>
          <w:t>пункте 3</w:t>
        </w:r>
      </w:hyperlink>
      <w:r>
        <w:t xml:space="preserve"> Порядка;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</w:t>
      </w:r>
      <w:proofErr w:type="gramStart"/>
      <w:r>
        <w:t>2</w:t>
      </w:r>
      <w:proofErr w:type="gramEnd"/>
      <w:r>
        <w:t xml:space="preserve"> - количество муниципальных образований автономного округа, входящих во вторую группу.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10. В случае несоблюдения муниципальным образованием условий софинансирования, наличия оснований для отказа в предоставлении субсидии, определенных </w:t>
      </w:r>
      <w:hyperlink w:anchor="P3659" w:history="1">
        <w:r>
          <w:rPr>
            <w:color w:val="0000FF"/>
          </w:rPr>
          <w:t>пунктом 13</w:t>
        </w:r>
      </w:hyperlink>
      <w:r>
        <w:t xml:space="preserve"> Порядка, субсидия перераспределяется другому муниципальному образованию из списка муниципальных образований: следующему - для первой группы или предыдущему - для второй группы.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11. Департамент в течение 5 рабочих дней </w:t>
      </w:r>
      <w:proofErr w:type="gramStart"/>
      <w:r>
        <w:t>с даты формирования</w:t>
      </w:r>
      <w:proofErr w:type="gramEnd"/>
      <w:r>
        <w:t xml:space="preserve"> Перечня направляет получателям субсидии предварительную информацию об объемах предоставляемой субсидии из бюджета автономного округа на очередной финансовый год.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16" w:name="P3653"/>
      <w:bookmarkEnd w:id="16"/>
      <w:r>
        <w:t>12. Получатели субсидии в срок до 1 августа представляют в адрес Департамента:</w:t>
      </w:r>
    </w:p>
    <w:p w:rsidR="00EB3305" w:rsidRDefault="00EB3305">
      <w:pPr>
        <w:pStyle w:val="ConsPlusNormal"/>
        <w:spacing w:before="220"/>
        <w:ind w:firstLine="540"/>
        <w:jc w:val="both"/>
      </w:pPr>
      <w:proofErr w:type="gramStart"/>
      <w:r>
        <w:t>1) информацию об объемах средств местного бюджета, предусмотренных в проекте местного бюджета на очередной финансовый год на реализацию мероприятий на условиях софинансирования, которую заверяет руководитель финансового органа муниципального образования;</w:t>
      </w:r>
      <w:proofErr w:type="gramEnd"/>
    </w:p>
    <w:p w:rsidR="00EB3305" w:rsidRDefault="00EB3305">
      <w:pPr>
        <w:pStyle w:val="ConsPlusNormal"/>
        <w:spacing w:before="220"/>
        <w:ind w:firstLine="540"/>
        <w:jc w:val="both"/>
      </w:pPr>
      <w:r>
        <w:t>2) реквизиты муниципального правового акта, предусматривающего: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мероприятия и расходные обязательства муниципального образования на их исполнение;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перечень показателей муниципальной программы, аналогичных показателям государственной программы "Доля граждан, положительно оценивающих состояние межнациональных отношений в автономном округе", "Количество участников мероприятий, направленных на укрепление общероссийского гражданского единства, проживающих в автономном округе", "Численность участников мероприятий, направленных на этнокультурное развитие народов России, проживающих в автономном округе";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3) информацию о плановом значении показателя (аналогичного показателю государственной программы "Доля граждан, положительно оценивающих состояние межнациональных отношений в автономном округе"), предусмотренного на очередной финансовый год в муниципальной программе.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17" w:name="P3659"/>
      <w:bookmarkEnd w:id="17"/>
      <w:r>
        <w:t xml:space="preserve">13. Непредставление (нарушение сроков представления) муниципальным образованием автономного округа документов, указанных в </w:t>
      </w:r>
      <w:hyperlink w:anchor="P3609" w:history="1">
        <w:r>
          <w:rPr>
            <w:color w:val="0000FF"/>
          </w:rPr>
          <w:t>пунктах 4</w:t>
        </w:r>
      </w:hyperlink>
      <w:r>
        <w:t xml:space="preserve">, </w:t>
      </w:r>
      <w:hyperlink w:anchor="P3653" w:history="1">
        <w:r>
          <w:rPr>
            <w:color w:val="0000FF"/>
          </w:rPr>
          <w:t>12</w:t>
        </w:r>
      </w:hyperlink>
      <w:r>
        <w:t xml:space="preserve"> Порядка, служит основанием для отказа в предоставлении субсидии и для внесения изменений в Перечень.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14. Департамент письменно уведомляет исполнительно-распорядительный орган муниципального образования автономного округа (далее - администрация) о причинах отказа в предоставлении субсидии.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18" w:name="P3661"/>
      <w:bookmarkEnd w:id="18"/>
      <w:r>
        <w:t>15. Субсидия предоставляется на основании Соглашения, заключенного между Департаментом и администрацией в автоматизированной системе планирования, бухгалтерского учета и анализа исполнения бюджета "Бюджет".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lastRenderedPageBreak/>
        <w:t>15.1. Проект Соглашения заполняет Департамент в части данных распорядителя бюджетных средств и направляет администрации не позднее 15 декабря года, предшествующего году предоставления субсидии.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15.2. Соглашение заключается после принятия бюджета автономного округа, местных бюджетов на очередной финансовый год и плановый период с учетом соблюдения условий, определенных </w:t>
      </w:r>
      <w:hyperlink w:anchor="P3609" w:history="1">
        <w:r>
          <w:rPr>
            <w:color w:val="0000FF"/>
          </w:rPr>
          <w:t>пунктом 4</w:t>
        </w:r>
      </w:hyperlink>
      <w:r>
        <w:t xml:space="preserve"> Порядка, но не позднее 1 апреля текущего года.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В случае нарушения администрацией срока и условий, указанных в Порядке, денежные средства распределяются между муниципальными образованиями в соответствии с </w:t>
      </w:r>
      <w:hyperlink w:anchor="P3633" w:history="1">
        <w:r>
          <w:rPr>
            <w:color w:val="0000FF"/>
          </w:rPr>
          <w:t>пунктом 8</w:t>
        </w:r>
      </w:hyperlink>
      <w:r>
        <w:t xml:space="preserve"> Порядка в срок не позднее 1 мая текущего года. Соглашение с администрацией муниципального образования, определенного по итогам распределения, заключается с учетом соблюдения условий, определенных </w:t>
      </w:r>
      <w:hyperlink w:anchor="P3609" w:history="1">
        <w:r>
          <w:rPr>
            <w:color w:val="0000FF"/>
          </w:rPr>
          <w:t>пунктом 4</w:t>
        </w:r>
      </w:hyperlink>
      <w:r>
        <w:t xml:space="preserve"> Порядка, не позднее 1 июля текущего года.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19" w:name="P3665"/>
      <w:bookmarkEnd w:id="19"/>
      <w:r>
        <w:t>16. Соглашение должно содержать:</w:t>
      </w:r>
    </w:p>
    <w:p w:rsidR="00EB3305" w:rsidRDefault="00EB3305">
      <w:pPr>
        <w:pStyle w:val="ConsPlusNormal"/>
        <w:spacing w:before="220"/>
        <w:ind w:firstLine="540"/>
        <w:jc w:val="both"/>
      </w:pPr>
      <w:proofErr w:type="gramStart"/>
      <w:r>
        <w:t>1) сведения о размере субсидии;</w:t>
      </w:r>
      <w:proofErr w:type="gramEnd"/>
    </w:p>
    <w:p w:rsidR="00EB3305" w:rsidRDefault="00EB3305">
      <w:pPr>
        <w:pStyle w:val="ConsPlusNormal"/>
        <w:spacing w:before="220"/>
        <w:ind w:firstLine="540"/>
        <w:jc w:val="both"/>
      </w:pPr>
      <w:r>
        <w:t>2) сведения о наличии муниципального правового акта, предусматривающего мероприятия и расходные обязательства для их реализации;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3) плановое значение Показателя исходя из утвержденного на очередной год значения целевого показателя муниципальной программы (аналогичного соответствующему целевому показателю государственной программы "Доля граждан, положительно оценивающих состояние межнациональных отношений в автономном округе") (приложение к Соглашению);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4) формы и сроки представления отчетности в Департамент об исполнении обязательств, вытекающих из Соглашения, в том числе о расходах средств субсидии и средств местных бюджетов;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5) ответственность сторон за нарушение условий Соглашения.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17. Перечисление субсидии осуществляется в установленном Департаментом финансов автономного округа порядке на счета,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18. Эффективность использования субсидии определяет Департамент на основании значения Показателя, установленного по результатам ежегодного социологического исследования о состоянии межнациональных и межконфессиональных отношений в автономном округе, проведенного Департаментом общественных и внешних связей автономного округа в ходе реализации мероприятия 2.7 государственной программы, в году предоставления субсидии.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19. В случае несоблюдения администрацией условий Соглашения, недостижения значения Показателя, нецелевого использования субсидии средства подлежат возврату в бюджет автономного округа в размере, определенном Департаментом в соответствии с условиями Соглашения.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20. Администрация несет полную ответственность за невыполнение предусмотренных Соглашением обязательств, за нецелевое использование субсидии в соответствии с законодательством Российской Федерации и законодательством автономного округа.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right"/>
        <w:outlineLvl w:val="0"/>
      </w:pPr>
      <w:r>
        <w:lastRenderedPageBreak/>
        <w:t>Приложение 5</w:t>
      </w:r>
    </w:p>
    <w:p w:rsidR="00EB3305" w:rsidRDefault="00EB3305">
      <w:pPr>
        <w:pStyle w:val="ConsPlusNormal"/>
        <w:jc w:val="right"/>
      </w:pPr>
      <w:r>
        <w:t>к постановлению</w:t>
      </w:r>
    </w:p>
    <w:p w:rsidR="00EB3305" w:rsidRDefault="00EB3305">
      <w:pPr>
        <w:pStyle w:val="ConsPlusNormal"/>
        <w:jc w:val="right"/>
      </w:pPr>
      <w:r>
        <w:t>Правительства</w:t>
      </w:r>
    </w:p>
    <w:p w:rsidR="00EB3305" w:rsidRDefault="00EB3305">
      <w:pPr>
        <w:pStyle w:val="ConsPlusNormal"/>
        <w:jc w:val="right"/>
      </w:pPr>
      <w:r>
        <w:t>Ханты-Мансийского</w:t>
      </w:r>
    </w:p>
    <w:p w:rsidR="00EB3305" w:rsidRDefault="00EB3305">
      <w:pPr>
        <w:pStyle w:val="ConsPlusNormal"/>
        <w:jc w:val="right"/>
      </w:pPr>
      <w:r>
        <w:t>автономного округа - Югры</w:t>
      </w:r>
    </w:p>
    <w:p w:rsidR="00EB3305" w:rsidRDefault="00EB3305">
      <w:pPr>
        <w:pStyle w:val="ConsPlusNormal"/>
        <w:jc w:val="right"/>
      </w:pPr>
      <w:r>
        <w:t>от 5 октября 2018 года N 349-п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</w:pPr>
      <w:bookmarkStart w:id="20" w:name="P3687"/>
      <w:bookmarkEnd w:id="20"/>
      <w:r>
        <w:t>ПОРЯДОК</w:t>
      </w:r>
    </w:p>
    <w:p w:rsidR="00EB3305" w:rsidRDefault="00EB3305">
      <w:pPr>
        <w:pStyle w:val="ConsPlusTitle"/>
        <w:jc w:val="center"/>
      </w:pPr>
      <w:r>
        <w:t>ПРЕДОСТАВЛЕНИЯ ГРАНТОВ В ФОРМЕ СУБСИДИИ ПОБЕДИТЕЛЯМ КОНКУРСА</w:t>
      </w:r>
    </w:p>
    <w:p w:rsidR="00EB3305" w:rsidRDefault="00EB3305">
      <w:pPr>
        <w:pStyle w:val="ConsPlusTitle"/>
        <w:jc w:val="center"/>
      </w:pPr>
      <w:r>
        <w:t>ПРОЕКТОВ ПО ФОРМИРОВАНИЮ КУЛЬТУРЫ ТОЛЕРАНТНОСТИ,</w:t>
      </w:r>
    </w:p>
    <w:p w:rsidR="00EB3305" w:rsidRDefault="00EB3305">
      <w:pPr>
        <w:pStyle w:val="ConsPlusTitle"/>
        <w:jc w:val="center"/>
      </w:pPr>
      <w:r>
        <w:t>ПРОТИВОДЕЙСТВИЮ КСЕНОФОБИИ И ПРОФИЛАКТИКЕ ЭКСТРЕМИЗМА</w:t>
      </w:r>
    </w:p>
    <w:p w:rsidR="00EB3305" w:rsidRDefault="00EB3305">
      <w:pPr>
        <w:pStyle w:val="ConsPlusTitle"/>
        <w:jc w:val="center"/>
      </w:pPr>
      <w:r>
        <w:t>(ДАЛЕЕ - ПОРЯДОК)</w:t>
      </w:r>
    </w:p>
    <w:p w:rsidR="00EB3305" w:rsidRDefault="00EB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03.10.2019 N 349-п)</w:t>
            </w:r>
          </w:p>
        </w:tc>
      </w:tr>
    </w:tbl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  <w:outlineLvl w:val="1"/>
      </w:pPr>
      <w:r>
        <w:t>1. Общие положения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определяет цели, условия, размеры и правила предоставления грантов в форме субсидии (далее - Гранты) из бюджета Ханты-Мансийского автономного округа - Югры (далее - автономный округ) для реализации проектов, способствующих формированию толерантности, противодействию ксенофобии и профилактике экстремизма, мероприятия 2.2 "Конкурс проектов по формированию культуры толерантности, противодействию ксенофобии и профилактике экстремизма" </w:t>
      </w:r>
      <w:hyperlink w:anchor="P985" w:history="1">
        <w:r>
          <w:rPr>
            <w:color w:val="0000FF"/>
          </w:rPr>
          <w:t>подпрограммы 2</w:t>
        </w:r>
      </w:hyperlink>
      <w:r>
        <w:t xml:space="preserve"> "Профилактика экстремизма, обеспечение гражданского единства" настоящей государственной программы.</w:t>
      </w:r>
      <w:proofErr w:type="gramEnd"/>
    </w:p>
    <w:p w:rsidR="00EB3305" w:rsidRDefault="00EB3305">
      <w:pPr>
        <w:pStyle w:val="ConsPlusNormal"/>
        <w:spacing w:before="220"/>
        <w:ind w:firstLine="540"/>
        <w:jc w:val="both"/>
      </w:pPr>
      <w:r>
        <w:t>1.2. Для целей Порядка используются следующие понятия: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Получатель - Соискатель, Проект которого признан победившим в Конкурсе;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Грант - денежные средства в форме субсидии, предоставляемые из бюджета автономного округа Получателю на реализацию Проекта;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Департамент - Департамент образования и молодежной политики автономного округа;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Конкурс - отбор, по результатам которого Получателям предоставляются из бюджета автономного округа Гранты для реализации их Проектов;</w:t>
      </w:r>
    </w:p>
    <w:p w:rsidR="00EB3305" w:rsidRDefault="00EB3305">
      <w:pPr>
        <w:pStyle w:val="ConsPlusNormal"/>
        <w:spacing w:before="220"/>
        <w:ind w:firstLine="540"/>
        <w:jc w:val="both"/>
      </w:pPr>
      <w:proofErr w:type="gramStart"/>
      <w:r>
        <w:t>Соискатель - профессиональные образовательные организации и образовательные организации высшего образования, не являющиеся казенными учреждениями, в отношении которых функции и полномочия учредителей осуществляют исполнительные органы государственной власти автономного округа, общественные объединения, зарегистрированные и осуществляющие свою деятельность в автономном округе в сфере государственной молодежной политики, в том числе гражданско-патриотического воспитания молодежи (далее - общественные объединения), при этом указанная деятельность должна быть закреплена в их</w:t>
      </w:r>
      <w:proofErr w:type="gramEnd"/>
      <w:r>
        <w:t xml:space="preserve"> </w:t>
      </w:r>
      <w:proofErr w:type="gramStart"/>
      <w:r>
        <w:t>уставах</w:t>
      </w:r>
      <w:proofErr w:type="gramEnd"/>
      <w:r>
        <w:t>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Заявка - комплект документов и материалов, представляемых Соискателем в соответствии с требованиями Порядка для участия в Конкурсе;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Соглашение - соглашение о предоставлении Гранта, разработанное в соответствии с типовой формой, установленной Департаментом финансов автономного округа;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Конкурсная комиссия - орган, работающий на общественных началах, образованный Департаментом для оценки и отбора наиболее эффективных Проектов Конкурса;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lastRenderedPageBreak/>
        <w:t xml:space="preserve">Проект - основной документ, входящий в состав Заявки, структуру которого утверждает Департамент, и содержащий комплекс взаимосвязанных мероприятий в рамках определенного срока и бюджета, направленных </w:t>
      </w:r>
      <w:proofErr w:type="gramStart"/>
      <w:r>
        <w:t>на</w:t>
      </w:r>
      <w:proofErr w:type="gramEnd"/>
      <w:r>
        <w:t>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создание у молодежи устойчивого понимания дружественности многонационального и многоконфессионального российского народа;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организацию межведомственного взаимодействия институтов гражданского общества и власти в вопросе формирования межнационального и межэтнического согласия, профилактики экстремизма в молодежной среде;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развитие гражданско-патриотического воспитания подрастающего поколения, создание дружественной атмосферы общения молодежи различных национальностей и конфессий в </w:t>
      </w:r>
      <w:proofErr w:type="gramStart"/>
      <w:r>
        <w:t>интернет-пространстве</w:t>
      </w:r>
      <w:proofErr w:type="gramEnd"/>
      <w:r>
        <w:t>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1.3. Организацию Конкурса и предоставление Грантов Департамент осуществляет в соответствии со сводной бюджетной росписью бюджета автономного округа в пределах лимитов бюджетных обязательств, предусмотренных для реализации настоящей государственной программы на соответствующий финансовый год.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1.4. Категории Получателей Гранта: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профессиональные образовательные организации и образовательные организации высшего образования, не являющиеся казенными учреждениями, в отношении которых функции и полномочия учредителей осуществляют исполнительные органы государственной власти автономного округа;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общественные объединения, зарегистрированные и осуществляющие свою деятельность в автономном округе в сфере государственной молодежной политики, в том числе гражданско-патриотического воспитания молодежи (далее - общественные объединения), при этом указанная деятельность должна быть закреплена в их уставах.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21" w:name="P3715"/>
      <w:bookmarkEnd w:id="21"/>
      <w:r>
        <w:t xml:space="preserve">1.5. Гранты предоставляются с целью финансового обеспечения затрат на проведение мероприятий в сфере государственной национальной политики, профилактики экстремизма, направленных в том числе </w:t>
      </w:r>
      <w:proofErr w:type="gramStart"/>
      <w:r>
        <w:t>на</w:t>
      </w:r>
      <w:proofErr w:type="gramEnd"/>
      <w:r>
        <w:t>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создание у молодежи устойчивого понимания дружественности многонационального и многоконфессионального российского народа;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организацию межведомственного взаимодействия институтов гражданского общества и власти в вопросе формирования межнационального и межэтнического согласия, профилактики экстремизма в молодежной среде;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развитие гражданско-патриотического воспитания подрастающего поколения, создание дружественной атмосферы общения молодежи различных национальностей и конфессий в </w:t>
      </w:r>
      <w:proofErr w:type="gramStart"/>
      <w:r>
        <w:t>интернет-пространстве</w:t>
      </w:r>
      <w:proofErr w:type="gramEnd"/>
      <w:r>
        <w:t>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1.6. Конкурс проводится по следующим номинациям: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образовательные организации;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общественные объединения.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  <w:outlineLvl w:val="1"/>
      </w:pPr>
      <w:r>
        <w:t>2. Порядок объявления конкурсного отбора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 xml:space="preserve">2.1. Извещение о проведении Конкурса (далее - извещение) должно содержать следующую </w:t>
      </w:r>
      <w:r>
        <w:lastRenderedPageBreak/>
        <w:t>информацию: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условия участия, порядок и критерии оценки Проектов;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срок и адрес подачи Заявок;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перечень документов, представляемых для участия в конкурсном отборе;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порядок и сроки объявления результатов;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размеры Грантов по каждой номинации;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форму Соглашения.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2.2. Департамент размещает извещение на своем официальном сайте (depobr-molod.admhmao.ru) не позднее 22 рабочих дней до дня окончания срока приема Заявок.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  <w:outlineLvl w:val="1"/>
      </w:pPr>
      <w:r>
        <w:t>3. Сроки, порядок подачи и рассмотрения Заявок, требования</w:t>
      </w:r>
    </w:p>
    <w:p w:rsidR="00EB3305" w:rsidRDefault="00EB3305">
      <w:pPr>
        <w:pStyle w:val="ConsPlusTitle"/>
        <w:jc w:val="center"/>
      </w:pPr>
      <w:r>
        <w:t>к документам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bookmarkStart w:id="22" w:name="P3737"/>
      <w:bookmarkEnd w:id="22"/>
      <w:r>
        <w:t>3.1. Заявка представляется в Департамент непосредственно или почтовым отправлением по адресу: 628011, Ханты-Мансийский автономный округ - Югра, г. Ханты-Мансийск, ул. Чехова, д. 12.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Заявка представляется на бумажном носителе, листы должны быть прошиты, пронумерованы. Количество листов каждого документа Соискатель вносит в опись, составляемую в 2 экземплярах; первый экземпляр описи оставляет у себя, второй прилагает к представленным документам.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3.2. В случае если последний день приема Заявок приходится на нерабочий, праздничный день, днем окончания срока считается следующий за ним рабочий день.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В случае направления Заявки посредством почтовой связи в последний день срока, что подтверждается оттиском почтового календарного штемпеля, срок подачи не считается пропущенным.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23" w:name="P3741"/>
      <w:bookmarkEnd w:id="23"/>
      <w:r>
        <w:t>3.3. Соискатель для участия в Конкурсе представляет в Департамент Заявку, в состав которой входят следующие документы: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заявление на участие в Конкурсе, с обязательным указанием банковских реквизитов Соискателя;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Проект;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смета расходов на реализацию Проекта;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справка о просроченной задолженности по субсидиям, бюджетным инвестициям и иным средствам, предоставленным из бюджета автономного округа, по форме, утвержденной Департаментом финансов автономного округа.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Форму заявления на участие в Конкурсе, структуру Проекта, сроки проведения Конкурса утверждает Департамент.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3.4. Каждый из Соискателей может представить на участие в Конкурсе не более одной Заявки. В случае предоставления двух и более Заявок к рассмотрению принимается Заявка, поданная первой.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3.5. Соискатель имеет право по собственной инициативе представить документы, </w:t>
      </w:r>
      <w:r>
        <w:lastRenderedPageBreak/>
        <w:t xml:space="preserve">подтверждающие соответствие его требованиям, установленным </w:t>
      </w:r>
      <w:hyperlink w:anchor="P3751" w:history="1">
        <w:r>
          <w:rPr>
            <w:color w:val="0000FF"/>
          </w:rPr>
          <w:t>подпунктом 3.7.1 пункта 3.7</w:t>
        </w:r>
      </w:hyperlink>
      <w:r>
        <w:t xml:space="preserve"> Порядка.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В течение 10 рабочих дней после истечения указанного в извещении срока для подачи Заявки Департамент в порядке межведомственного информационного взаимодействия в соответствии с законодательством Российской Федерации запрашивает сведения из Единого государственного реестра юридических лиц, сведения об отсутствии неисполненной обязанности по уплате налогов, сборов, страховых взносов, пеней, штрафов и процентов, подлежащих уплате согласно законодательству о налогах и сборах, из Управления федеральной</w:t>
      </w:r>
      <w:proofErr w:type="gramEnd"/>
      <w:r>
        <w:t xml:space="preserve"> налоговой службы по автономному округу, если они не были представлены Соискателем самостоятельно.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24" w:name="P3750"/>
      <w:bookmarkEnd w:id="24"/>
      <w:r>
        <w:t>3.7. Основаниями для отказа в участии в Конкурсе являются: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25" w:name="P3751"/>
      <w:bookmarkEnd w:id="25"/>
      <w:r>
        <w:t>3.7.1. Несоответствие Соискателя одному или нескольким требованиям на дату подачи Заявки: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Соискатель не находится в процессе ликвидации, банкротства;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у Соискателя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B3305" w:rsidRDefault="00EB3305">
      <w:pPr>
        <w:pStyle w:val="ConsPlusNormal"/>
        <w:spacing w:before="220"/>
        <w:ind w:firstLine="540"/>
        <w:jc w:val="both"/>
      </w:pPr>
      <w:proofErr w:type="gramStart"/>
      <w:r>
        <w:t>Соискатель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>
        <w:t xml:space="preserve"> 50 процентов;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Соискатель не получает </w:t>
      </w:r>
      <w:proofErr w:type="gramStart"/>
      <w:r>
        <w:t>в текущем финансовом году средства из бюджета автономного округа в соответствии с иными правовыми актами на цели</w:t>
      </w:r>
      <w:proofErr w:type="gramEnd"/>
      <w:r>
        <w:t>, установленные Порядком;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у Соискателя отсутствует просроченная задолженность по возврату в бюджет автономного округа субсидий, бюджетных инвестиций, предоставленных в соответствии с иными правовыми актами.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3.7.2. Случаи: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несоответствие представленной Заявки требованиям, определенным </w:t>
      </w:r>
      <w:hyperlink w:anchor="P3737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3741" w:history="1">
        <w:r>
          <w:rPr>
            <w:color w:val="0000FF"/>
          </w:rPr>
          <w:t>3.3</w:t>
        </w:r>
      </w:hyperlink>
      <w:r>
        <w:t xml:space="preserve"> Порядка, или их непредставление (представление не в полном объеме);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недостоверность информации, содержащейся в Заявке, представленной Соискателем;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представление Заявки по истечении срока, установленного в извещении;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представление Заявки, не соответствующей цели Конкурса;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представление Проекта, реализация которого на момент подачи Заявки завершена.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3.8. Соискатель имеет право до истечения срока подачи Заявок, указанного в извещении: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3.8.1. Внести изменения в Заявку.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3.8.2. Отозвать Заявку без указания каких-либо причин, сообщив о своем решении в Департамент любым удобным для него способом (лично, почтовой связью, телефонной связью, Интернет). Отозванная Заявка не учитывается при подсчете количества Заявок, представленных </w:t>
      </w:r>
      <w:r>
        <w:lastRenderedPageBreak/>
        <w:t>для участия в Конкурсе.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26" w:name="P3766"/>
      <w:bookmarkEnd w:id="26"/>
      <w:r>
        <w:t xml:space="preserve">3.9. </w:t>
      </w:r>
      <w:proofErr w:type="gramStart"/>
      <w:r>
        <w:t xml:space="preserve">В случае если для участия в Конкурсе по одной из номинаций не подано ни одной Заявки либо всем Соискателям номинации отказано в участии в Конкурсе по основаниям, предусмотренным </w:t>
      </w:r>
      <w:hyperlink w:anchor="P3750" w:history="1">
        <w:r>
          <w:rPr>
            <w:color w:val="0000FF"/>
          </w:rPr>
          <w:t>пунктом 3.7</w:t>
        </w:r>
      </w:hyperlink>
      <w:r>
        <w:t xml:space="preserve"> Порядка, Конкурс в этой номинации признается несостоявшимся, и прием Заявок на Конкурс продляется не более чем на 22 рабочих дня со дня окончания срока проверки документов.</w:t>
      </w:r>
      <w:proofErr w:type="gramEnd"/>
    </w:p>
    <w:p w:rsidR="00EB3305" w:rsidRDefault="00EB3305">
      <w:pPr>
        <w:pStyle w:val="ConsPlusNormal"/>
        <w:spacing w:before="220"/>
        <w:ind w:firstLine="540"/>
        <w:jc w:val="both"/>
      </w:pPr>
      <w:bookmarkStart w:id="27" w:name="P3767"/>
      <w:bookmarkEnd w:id="27"/>
      <w:r>
        <w:t>3.10. В течение 10 рабочих дней после истечения указанного в извещении срока для подачи Заявки Департамент: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проверяет соответствие Соискателя предъявляемым к нему требованиям;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проверяет наличие и соответствие установленным требованиям документов Заявки, предусмотренных </w:t>
      </w:r>
      <w:hyperlink w:anchor="P3741" w:history="1">
        <w:r>
          <w:rPr>
            <w:color w:val="0000FF"/>
          </w:rPr>
          <w:t>пунктом 3.3</w:t>
        </w:r>
      </w:hyperlink>
      <w:r>
        <w:t xml:space="preserve"> Порядка;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рассматривает Заявки на предмет отсутствия оснований для отказа в участии в Конкурсе, предусмотренных </w:t>
      </w:r>
      <w:hyperlink w:anchor="P3750" w:history="1">
        <w:r>
          <w:rPr>
            <w:color w:val="0000FF"/>
          </w:rPr>
          <w:t>пунктом 3.7</w:t>
        </w:r>
      </w:hyperlink>
      <w:r>
        <w:t xml:space="preserve"> Порядка;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по результатам рассмотрения Заявок принимает решение в форме приказа, в котором указывает Соискателей, допущенных к участию в Конкурсе и не допущенных к участию в нем, либо о продлении Конкурса (в случае, предусмотренном </w:t>
      </w:r>
      <w:hyperlink w:anchor="P3766" w:history="1">
        <w:r>
          <w:rPr>
            <w:color w:val="0000FF"/>
          </w:rPr>
          <w:t>пунктом 3.9</w:t>
        </w:r>
      </w:hyperlink>
      <w:r>
        <w:t xml:space="preserve"> Порядка) и размещает его на официальном сайте Департамента.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  <w:outlineLvl w:val="1"/>
      </w:pPr>
      <w:r>
        <w:t>4. Порядок определения Получателей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bookmarkStart w:id="28" w:name="P3775"/>
      <w:bookmarkEnd w:id="28"/>
      <w:r>
        <w:t>4.1. Соискатели, допущенные к участию в Конкурсе, защищают Проекты в публичной форме (далее - защита). Дата, время и место защиты определяет Конкурсная комиссия, о чем допущенных к участию в Конкурсе Соискателей уведомляет Департамент (нарочно или почтой).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4.2. Персональный состав и положение о Конкурсной комиссии утверждает приказом Департамент.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4.3. Основными задачами Конкурсной комиссии являются: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оценка представленных Проектов;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заполнение итоговой ведомости по критериям и баллам, установленным в </w:t>
      </w:r>
      <w:hyperlink w:anchor="P3781" w:history="1">
        <w:r>
          <w:rPr>
            <w:color w:val="0000FF"/>
          </w:rPr>
          <w:t>пунктах 4.4</w:t>
        </w:r>
      </w:hyperlink>
      <w:r>
        <w:t xml:space="preserve"> и </w:t>
      </w:r>
      <w:hyperlink w:anchor="P3790" w:history="1">
        <w:r>
          <w:rPr>
            <w:color w:val="0000FF"/>
          </w:rPr>
          <w:t>4.5</w:t>
        </w:r>
      </w:hyperlink>
      <w:r>
        <w:t xml:space="preserve"> Порядка, каждым членом Конкурсной комиссии;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оформление (на основании итоговой ведомости) протокола о результатах Конкурса (отражение итоговых баллов), который подписывает председательствующий на заседании (далее - протокол).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29" w:name="P3781"/>
      <w:bookmarkEnd w:id="29"/>
      <w:r>
        <w:t xml:space="preserve">4.4. Оценка представленных Проектов осуществляется на заседании Комиссии, которое проводится не позднее 10 рабочих дней после окончания проверки, предусмотренной </w:t>
      </w:r>
      <w:hyperlink w:anchor="P3767" w:history="1">
        <w:r>
          <w:rPr>
            <w:color w:val="0000FF"/>
          </w:rPr>
          <w:t>пунктом 3.10</w:t>
        </w:r>
      </w:hyperlink>
      <w:r>
        <w:t xml:space="preserve"> Порядка, но не ранее направления уведомлений Соискателям в соответствии с </w:t>
      </w:r>
      <w:hyperlink w:anchor="P3775" w:history="1">
        <w:r>
          <w:rPr>
            <w:color w:val="0000FF"/>
          </w:rPr>
          <w:t>пунктом 4.1</w:t>
        </w:r>
      </w:hyperlink>
      <w:r>
        <w:t xml:space="preserve"> Порядка, по следующим критериям: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актуальность (соответствие проекта направлениям </w:t>
      </w:r>
      <w:hyperlink r:id="rId55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1666, </w:t>
      </w:r>
      <w:hyperlink r:id="rId56" w:history="1">
        <w:r>
          <w:rPr>
            <w:color w:val="0000FF"/>
          </w:rPr>
          <w:t>Стратегии</w:t>
        </w:r>
      </w:hyperlink>
      <w:r>
        <w:t xml:space="preserve"> противодействия экстремизму в Российской Федерации на период до 2025 года, утвержденной Президентом Российской Федерации 28 ноября 2014 года N Пр-2753);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социальная значимость (Проект направлен на разработку и проведение комплекса </w:t>
      </w:r>
      <w:r>
        <w:lastRenderedPageBreak/>
        <w:t>мероприятий воспитательной и пропагандистской направленности с молодежью с целью предотвращения экстремистской деятельности, воспитания толерантности, межнационального и межконфессионального согласия, соответствующих приоритетным направлениям государственной национальной политики Российской Федерации);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практическая значимость (Проект направлен на решение практических задач региона, муниципалитета, организации, в результате реализации Проекта должен быть увеличен показатель "доля граждан, положительно оценивающих состояние межнациональных отношений в автономном округе");</w:t>
      </w:r>
    </w:p>
    <w:p w:rsidR="00EB3305" w:rsidRDefault="00EB3305">
      <w:pPr>
        <w:pStyle w:val="ConsPlusNormal"/>
        <w:spacing w:before="220"/>
        <w:ind w:firstLine="540"/>
        <w:jc w:val="both"/>
      </w:pPr>
      <w:proofErr w:type="gramStart"/>
      <w:r>
        <w:t>инновационность (новизна) (в Проекте описаны новые или измененные формы реализации проекта, указаны конкретные формулировки по принципиальным отличиям предлагаемых материалов от уже реализованных на территории автономного округа);</w:t>
      </w:r>
      <w:proofErr w:type="gramEnd"/>
    </w:p>
    <w:p w:rsidR="00EB3305" w:rsidRDefault="00EB3305">
      <w:pPr>
        <w:pStyle w:val="ConsPlusNormal"/>
        <w:spacing w:before="220"/>
        <w:ind w:firstLine="540"/>
        <w:jc w:val="both"/>
      </w:pPr>
      <w:r>
        <w:t>масштаб реализации Проекта (предполагаемый уровень охвата территории при реализации Проекта, включающий в себя указание наименований районов, городов или других населенных пунктов, в которых будет реализовываться Проект, предусмотрена возможность расширения географии его применения);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перспективность (указана возможность продолжения деятельности после окончания субсидирования за счет собственного финансирования и самоокупаемости Проекта);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экономическая эффективность (результативность реализации Проекта, определяемая отношением полученного экономического эффекта к затратам на его реализацию);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кадровое обеспечение (соответствие опыта и компетенций команды Проекта планируемой деятельности; опыт организации успешной реализации программ, проектов соответствующего направления деятельности, укомплектованность Проекта кадрами соответствующей квалификации).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30" w:name="P3790"/>
      <w:bookmarkEnd w:id="30"/>
      <w:r>
        <w:t>4.5. Каждый член Конкурсной комиссии оценивает Проект от 1 до 5 баллов (целым числом) и заполняет оценочный лист (форму устанавливает Департамент), который сдает секретарю непосредственно после окончания защиты.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Проект оценивается по каждому из 8 критериев, перечисленных в </w:t>
      </w:r>
      <w:hyperlink w:anchor="P3781" w:history="1">
        <w:r>
          <w:rPr>
            <w:color w:val="0000FF"/>
          </w:rPr>
          <w:t>пункте 4.4</w:t>
        </w:r>
      </w:hyperlink>
      <w:r>
        <w:t xml:space="preserve"> Порядка: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5 баллов - соответствует оценке "отлично"; Проект полностью согласуется с данным критерием, замечания у членов Конкурсной комиссии отсутствуют;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4 балла - соответствует оценке "хорошо"; Проект имеет незначительные ошибки в соответствии с данным критерием;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3 балла - соответствует оценке "удовлетворительно"; Проект содержит небольшое количество ошибок, что не позволяет поставить более высокую оценку;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2 балла - соответствует оценке "неудовлетворительно"; Проект содержит ошибки, подготовлен некачественно;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 балл - соответствует оценке "неудовлетворительно"; Проект не соответствует заявленной цели, имеет такие ошибки, которые свидетельствуют о высоких рисках реализации Проекта.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4.6. Секретарь на основании оценочных листов заполняет итоговую ведомость в соответствии с формой, утвержденной Департаментом, на основании итоговой ведомости оформляет протокол о результатах Конкурса в срок не позднее 5 рабочих дней со дня заседания Конкурсной комиссии.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lastRenderedPageBreak/>
        <w:t xml:space="preserve">4.7. Департамент в течение 2 рабочих дней </w:t>
      </w:r>
      <w:proofErr w:type="gramStart"/>
      <w:r>
        <w:t>с даты подписания</w:t>
      </w:r>
      <w:proofErr w:type="gramEnd"/>
      <w:r>
        <w:t xml:space="preserve"> председательствующим протокола о результатах Конкурса определяет Получателей и издает приказ об итогах Конкурса, включающий информацию о Получателях и размерах Грантов. Протокол о результатах Конкурса и приказ об итогах Конкурса Департамент размещает на своем официальном сайте не позднее 2 рабочих дней со дня подписания приказа.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4.8. В каждой номинации определяется Получатель Гранта 1-й степени и Получатель Гранта 2-й степени.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4.9. При равенстве баллов в одной номинации Получателем Гранта 1-й степени признается тот, чья Заявка зарегистрирована ранее.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4.10. Соискателям, не признанным Получателями, не позднее 5 рабочих дней со дня издания приказа об итогах Конкурса Департамент направляет соответствующее уведомление.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  <w:outlineLvl w:val="1"/>
      </w:pPr>
      <w:r>
        <w:t>5. Условия и порядок предоставления Грантов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>5.1. По итогам Конкурса присваиваются: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образовательным организациям: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Грант 1 степени - 300000 рублей;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Грант 2 степени - 200000 рублей;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общественным объединениям: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Грант 1 степени - 300000 рублей;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Грант 2 степени - 200000 рублей.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5.2. Грант может быть использован только на цели, указанные в </w:t>
      </w:r>
      <w:hyperlink w:anchor="P3715" w:history="1">
        <w:r>
          <w:rPr>
            <w:color w:val="0000FF"/>
          </w:rPr>
          <w:t>пункте 1.5</w:t>
        </w:r>
      </w:hyperlink>
      <w:r>
        <w:t xml:space="preserve"> Порядка, и направлен на финансовое обеспечение следующих расходов: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аренду (содержание) помещения для проведения мероприятий Проекта;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оплату транспорта, осуществляющего подвоз несовершеннолетних, молодежи и других участников к месту проведения мероприятий Проекта;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услуги связи, требуемые при организации и реализации мероприятий Проекта;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оплату питания при проведении мероприятий Проекта;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обеспечение мер безопасности при проведении мероприятий Проекта;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оплату труда работников, осуществляющих организацию и проведение мероприятий Проекта (в том числе оплата труда привлеченных специалистов);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командировочные расходы, возникающие у Получателя при реализации мероприятий Проекта;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укрепление материально-технической базы, требующейся для проведения мероприятий Проекта (приобретение игр, оборудования, расходных материалов, сувенирной продукции, методической литературы);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изготовление полиграфической продукции для наглядной демонстрации во время проведения мероприятий Проекта (брошюры, плакаты).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lastRenderedPageBreak/>
        <w:t>5.3. Не допускается осуществление за счет Грантов следующих расходов: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непосредственно не связанных с реализацией Проекта;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приобретение материальных ценностей (имущества, товаров, предметов) с целью их дальнейшей реализации;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погашение задолженности организации;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выплату заработной платы, уплаты налогов, штрафов, сборов, пеней;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приобретение иностранной валюты, за исключением операций, осуществляемых в соответствии с валютным законодательством Российской Федерации.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5.4. Департамент в течение 2 рабочих дней со дня подписания приказа об итогах Конкурса подготавливает и направляет проект Соглашения Получателю для подписания с его стороны.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5.5. В Соглашении должны быть предусмотрены: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а) цели, условия, размер, сроки предоставления Гранта, расчет затрат, порядок возврата Гранта в случае нарушения условий, установленных Соглашением;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б) порядок, сроки и формы представления отчетности, подтверждающей выполнение условий Соглашения;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в) порядок перечисления Гранта;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г) ответственность за несоблюдение условий Соглашения;</w:t>
      </w:r>
    </w:p>
    <w:p w:rsidR="00EB3305" w:rsidRDefault="00EB3305">
      <w:pPr>
        <w:pStyle w:val="ConsPlusNormal"/>
        <w:spacing w:before="220"/>
        <w:ind w:firstLine="540"/>
        <w:jc w:val="both"/>
      </w:pPr>
      <w:proofErr w:type="gramStart"/>
      <w:r>
        <w:t>д) запрет приобретения за счет полученных денежных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средств, иных операций, определенных нормативными правовыми актами, муниципальными правовыми актами, регулирующими предоставление субсидии;</w:t>
      </w:r>
      <w:proofErr w:type="gramEnd"/>
    </w:p>
    <w:p w:rsidR="00EB3305" w:rsidRDefault="00EB3305">
      <w:pPr>
        <w:pStyle w:val="ConsPlusNormal"/>
        <w:spacing w:before="220"/>
        <w:ind w:firstLine="540"/>
        <w:jc w:val="both"/>
      </w:pPr>
      <w:r>
        <w:t>е) положения об обеспечении Получателями при проведении мероприятий с участием граждан мер безопасности в соответствии с законодательством Российской Федерации;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ж) целевые показатели предоставления Гранта и (или) порядок их расчета и право Департамента устанавливать в Соглашении конкретный результат (целевые показатели) и их значение на основании указанного порядка;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з) согласие Получателя на размещение на официальном сайте Департамента отчетов о выполнении условий, целей, порядка предоставления и использования Гранта;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и) согласие Получателя на осуществление в отношении него Департаментом и органом государственного финансового контроля автономного округа проверок соблюдения условий, целей и порядка предоставления Гранта.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31" w:name="P3839"/>
      <w:bookmarkEnd w:id="31"/>
      <w:r>
        <w:t>5.6. Получатель в течение 10 рабочих дней со дня получения Соглашения подписывает его и представляет в Департамент.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5.7. Основанием для отказа в заключени</w:t>
      </w:r>
      <w:proofErr w:type="gramStart"/>
      <w:r>
        <w:t>и</w:t>
      </w:r>
      <w:proofErr w:type="gramEnd"/>
      <w:r>
        <w:t xml:space="preserve"> Соглашения являются: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подписание Соглашения неуполномоченным лицом;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lastRenderedPageBreak/>
        <w:t>представление Получателем подписанного Соглашения, не соответствующего его форме, установленной Департаментом финансов автономного округа;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непредставление подписанного Получателем Соглашения в срок, указанный в </w:t>
      </w:r>
      <w:hyperlink w:anchor="P3839" w:history="1">
        <w:r>
          <w:rPr>
            <w:color w:val="0000FF"/>
          </w:rPr>
          <w:t>пункте 5.6</w:t>
        </w:r>
      </w:hyperlink>
      <w:r>
        <w:t xml:space="preserve"> Порядка.</w:t>
      </w:r>
    </w:p>
    <w:p w:rsidR="00EB3305" w:rsidRDefault="00EB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305" w:rsidRDefault="00EB33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3305" w:rsidRDefault="00EB330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B3305" w:rsidRDefault="00EB3305">
      <w:pPr>
        <w:pStyle w:val="ConsPlusNormal"/>
        <w:spacing w:before="280"/>
        <w:ind w:firstLine="540"/>
        <w:jc w:val="both"/>
      </w:pPr>
      <w:r>
        <w:t xml:space="preserve">5.9. Перечисление Гранта осуществляет Департамент в течение 15 рабочих дней </w:t>
      </w:r>
      <w:proofErr w:type="gramStart"/>
      <w:r>
        <w:t>с даты получения</w:t>
      </w:r>
      <w:proofErr w:type="gramEnd"/>
      <w:r>
        <w:t xml:space="preserve"> подписанного Получателем Соглашения на следующие счета: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а) юридическим лицам, за исключением бюджетных (автономных) учреждений, на расчетные счета, открытые Получателями в российских кредитных организациях;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б) бюджетным учреждениям - лицевые счета, открытые в территориальном органе Федерального казначейства или финансовом органе автономного округа (муниципального образования);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в) автономным учреждениям - лицевые счета, открытые в территориальном органе Федерального казначейства, финансовом органе автономного округа (муниципального образования), или расчетные счета, открытые в российских кредитных организациях.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  <w:outlineLvl w:val="1"/>
      </w:pPr>
      <w:r>
        <w:t>6. Требования к отчетности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>6.1. Порядок, сроки и формы представления Получателями отчетности, содержащей информацию о достижении целевых показателях и направлениях расходования сре</w:t>
      </w:r>
      <w:proofErr w:type="gramStart"/>
      <w:r>
        <w:t>дств Гр</w:t>
      </w:r>
      <w:proofErr w:type="gramEnd"/>
      <w:r>
        <w:t>анта, устанавливает Департамент в Соглашении: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представление ежеквартальных отчетов о ходе реализации Проекта, осуществлении расходов, источником обеспечения которых является Грант;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представление заключительного отчета по итогам реализации Проекта.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  <w:outlineLvl w:val="1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использованием Грантов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>7.1. Порядок и формы контроля устанавливает Департамент в Соглашении, что предусматривает проведение выездных проверок хода и итогов реализации Проекта.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7.2. Департамент и орган государственного финансового контроля автономного округа осуществляют обязательную проверку соблюдения Получателем целей, условий и порядка предоставления Гранта.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32" w:name="P3861"/>
      <w:bookmarkEnd w:id="32"/>
      <w:r>
        <w:t>7.3. Департамент принимает решение об истребовании предоставленного Гранта в случаях: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нарушения условий Соглашения;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установления факта нецелевого использования Гранта;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наличия письменного заявления Получателя об отказе от предоставленного Гранта;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неосвоения Гранта;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непредставления отчетности в соответствии с Соглашением либо представления с </w:t>
      </w:r>
      <w:proofErr w:type="gramStart"/>
      <w:r>
        <w:t>нарушением</w:t>
      </w:r>
      <w:proofErr w:type="gramEnd"/>
      <w:r>
        <w:t xml:space="preserve"> установленных в Соглашении требований и сроков;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lastRenderedPageBreak/>
        <w:t>уклонения от обязательной проверки соблюдения Получателем целей, условий и порядка предоставления Гранта;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несоблюдения Получателем целей, условий и порядка предоставления Гранта, выявленного по фактам проверок, проведенных главным распорядителем и (или) органом государственного финансового контроля автономного округа.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7.4. В течение 10 рабочих дней </w:t>
      </w:r>
      <w:proofErr w:type="gramStart"/>
      <w:r>
        <w:t>с даты возникновения</w:t>
      </w:r>
      <w:proofErr w:type="gramEnd"/>
      <w:r>
        <w:t xml:space="preserve"> одного из оснований, предусмотренных </w:t>
      </w:r>
      <w:hyperlink w:anchor="P3861" w:history="1">
        <w:r>
          <w:rPr>
            <w:color w:val="0000FF"/>
          </w:rPr>
          <w:t>пунктом 7.3</w:t>
        </w:r>
      </w:hyperlink>
      <w:r>
        <w:t xml:space="preserve"> Порядка, Департамент направляет Получателю требование о его возврате.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7.5. В течение 30 календарных дней </w:t>
      </w:r>
      <w:proofErr w:type="gramStart"/>
      <w:r>
        <w:t>с даты получения</w:t>
      </w:r>
      <w:proofErr w:type="gramEnd"/>
      <w:r>
        <w:t xml:space="preserve"> соответствующего требования Получатель обязан перечислить указанную в требовании сумму на счет Департамента.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7.6. В случае выявления факта недостижения целевых показателей использования Гранта, установленных Соглашением, Департамент в течение 5 рабочих дней направляет Получателю письменное требование о необходимости уплаты штрафов с указанием сроков оплаты.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Расчет суммы штрафа осуществляется по форме, установленной Соглашением.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7.7. В случае невыполнения требования о возврате в бюджет автономного округа Гранта или уплаты начисленного штрафа взыскание Гранта осуществляется в судебном порядке в соответствии с законодательством Российской Федерации.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right"/>
        <w:outlineLvl w:val="0"/>
      </w:pPr>
      <w:r>
        <w:t>Приложение 6</w:t>
      </w:r>
    </w:p>
    <w:p w:rsidR="00EB3305" w:rsidRDefault="00EB3305">
      <w:pPr>
        <w:pStyle w:val="ConsPlusNormal"/>
        <w:jc w:val="right"/>
      </w:pPr>
      <w:r>
        <w:t>к постановлению</w:t>
      </w:r>
    </w:p>
    <w:p w:rsidR="00EB3305" w:rsidRDefault="00EB3305">
      <w:pPr>
        <w:pStyle w:val="ConsPlusNormal"/>
        <w:jc w:val="right"/>
      </w:pPr>
      <w:r>
        <w:t>Правительства</w:t>
      </w:r>
    </w:p>
    <w:p w:rsidR="00EB3305" w:rsidRDefault="00EB3305">
      <w:pPr>
        <w:pStyle w:val="ConsPlusNormal"/>
        <w:jc w:val="right"/>
      </w:pPr>
      <w:r>
        <w:t>Ханты-Мансийского</w:t>
      </w:r>
    </w:p>
    <w:p w:rsidR="00EB3305" w:rsidRDefault="00EB3305">
      <w:pPr>
        <w:pStyle w:val="ConsPlusNormal"/>
        <w:jc w:val="right"/>
      </w:pPr>
      <w:r>
        <w:t>автономного округа - Югры</w:t>
      </w:r>
    </w:p>
    <w:p w:rsidR="00EB3305" w:rsidRDefault="00EB3305">
      <w:pPr>
        <w:pStyle w:val="ConsPlusNormal"/>
        <w:jc w:val="right"/>
      </w:pPr>
      <w:r>
        <w:t>от 5 октября 2018 года N 349-п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</w:pPr>
      <w:bookmarkStart w:id="33" w:name="P3886"/>
      <w:bookmarkEnd w:id="33"/>
      <w:r>
        <w:t>ПОРЯДОК</w:t>
      </w:r>
    </w:p>
    <w:p w:rsidR="00EB3305" w:rsidRDefault="00EB3305">
      <w:pPr>
        <w:pStyle w:val="ConsPlusTitle"/>
        <w:jc w:val="center"/>
      </w:pPr>
      <w:r>
        <w:t>ПРЕДОСТАВЛЕНИЯ СУБСИДИИ НА РЕАЛИЗАЦИЮ МЕРОПРИЯТИЯ 3.1</w:t>
      </w:r>
    </w:p>
    <w:p w:rsidR="00EB3305" w:rsidRDefault="00EB3305">
      <w:pPr>
        <w:pStyle w:val="ConsPlusTitle"/>
        <w:jc w:val="center"/>
      </w:pPr>
      <w:r>
        <w:t>ПОДПРОГРАММЫ 3 "РАЗВИТИЕ РОССИЙСКОГО КАЗАЧЕСТВА"</w:t>
      </w:r>
    </w:p>
    <w:p w:rsidR="00EB3305" w:rsidRDefault="00EB3305">
      <w:pPr>
        <w:pStyle w:val="ConsPlusTitle"/>
        <w:jc w:val="center"/>
      </w:pPr>
      <w:r>
        <w:t>ГОСУДАРСТВЕННОЙ ПРОГРАММЫ (ДАЛЕЕ - ПОРЯДОК)</w:t>
      </w:r>
    </w:p>
    <w:p w:rsidR="00EB3305" w:rsidRDefault="00EB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15.02.2019 N 43-п)</w:t>
            </w:r>
          </w:p>
        </w:tc>
      </w:tr>
    </w:tbl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определяет цели, условия и процедуру предоставления субсидии казачьим обществам, внесенным в установленном порядке в государственный реестр казачьих обществ в Российской Федерации и осуществляющим свою деятельность в автономном округе (далее - казачье общество), для реализации мероприятия 3.1 "Субсидии казачьим обществам на возмещение расходов, связанных с реализацией договоров (соглашений) с органами государственной власти" </w:t>
      </w:r>
      <w:hyperlink w:anchor="P1668" w:history="1">
        <w:r>
          <w:rPr>
            <w:color w:val="0000FF"/>
          </w:rPr>
          <w:t>подпрограммы 3</w:t>
        </w:r>
      </w:hyperlink>
      <w:r>
        <w:t xml:space="preserve"> "Развитие российского казачества" государственной программы.</w:t>
      </w:r>
      <w:proofErr w:type="gramEnd"/>
    </w:p>
    <w:p w:rsidR="00EB3305" w:rsidRDefault="00EB3305">
      <w:pPr>
        <w:pStyle w:val="ConsPlusNormal"/>
        <w:spacing w:before="220"/>
        <w:ind w:firstLine="540"/>
        <w:jc w:val="both"/>
      </w:pPr>
      <w:bookmarkStart w:id="34" w:name="P3894"/>
      <w:bookmarkEnd w:id="34"/>
      <w:r>
        <w:t>2. Субсидия казачьим обществам на возмещение затрат, связанных с реализацией договоров (соглашений) с исполнительными органами государственной власти автономного округа (далее - субсидия), предоставляется на осуществление следующих видов деятельности: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lastRenderedPageBreak/>
        <w:t>предупреждение и ликвидация чрезвычайных ситуаций, ликвидация последствий стихийных бедствий, гражданская и территориальная оборона, природоохранные мероприятия;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охрана общественного порядка, обеспечение экологической и пожарной безопасности, борьба с терроризмом.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3. Субсидия предоставляется в целях привлечения казачьих обществ к оказанию содействия исполнительным органам государственной власти автономного округа (далее - исполнительный орган власти) в осуществлении установленных полномочий.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4. Субсидию предоставляет исполнительный орган власти - соисполнитель мероприятия 3.1 государственной программы,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Решение о привлечении членов казачьих обществ к оказанию содействия исполнительному органу власти в осуществлении полномочий в установленной сфере деятельности, предусмотренной </w:t>
      </w:r>
      <w:hyperlink w:anchor="P3894" w:history="1">
        <w:r>
          <w:rPr>
            <w:color w:val="0000FF"/>
          </w:rPr>
          <w:t>пунктом 2</w:t>
        </w:r>
      </w:hyperlink>
      <w:r>
        <w:t xml:space="preserve"> Порядка (далее - оказание содействия), принимает исполнительный орган власти в соответствии со своей компетенцией и обязательствами по несению государственной службы, принятыми членами казачьих обществ.</w:t>
      </w:r>
      <w:proofErr w:type="gramEnd"/>
    </w:p>
    <w:p w:rsidR="00EB3305" w:rsidRDefault="00EB3305">
      <w:pPr>
        <w:pStyle w:val="ConsPlusNormal"/>
        <w:spacing w:before="220"/>
        <w:ind w:firstLine="540"/>
        <w:jc w:val="both"/>
      </w:pPr>
      <w:r>
        <w:t>6. Основанием для предоставления субсидии является договор (соглашение) о предоставлении субсидии, заключенный между исполнительным органом власти и казачьим обществом (далее - договор).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7. Для принятия решения о заключении договора исполнительный орган власти направляет в адрес казачьих обществ запрос о готовности к оказанию содействия.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35" w:name="P3902"/>
      <w:bookmarkEnd w:id="35"/>
      <w:r>
        <w:t>8. В случае согласия казачье общество представляет в исполнительный орган власти заявление произвольной формы, в котором указывает идентификационный номер налогоплательщика (ИНН)/код причины постановки на учет (КПП), регистрируемое в день его подачи, с приложением к нему следующих документов: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финансово-экономического обоснования с расчетом планируемых расходов казачьего общества и объема часов, связанных с оказанием содействия;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справки о просроченной задолженности по субсидиям, бюджетным инвестициям и иным средствам, предоставленным из бюджета Ханты-Мансийского автономного округа - Югры, по форме, утвержденной финансовым органом субъекта.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36" w:name="P3905"/>
      <w:bookmarkEnd w:id="36"/>
      <w:r>
        <w:t xml:space="preserve">9. При рассмотрении документов, указанных в </w:t>
      </w:r>
      <w:hyperlink w:anchor="P3902" w:history="1">
        <w:r>
          <w:rPr>
            <w:color w:val="0000FF"/>
          </w:rPr>
          <w:t>пункте 8</w:t>
        </w:r>
      </w:hyperlink>
      <w:r>
        <w:t xml:space="preserve"> Порядка, исполнительный орган власти в порядке межведомственного информационного взаимодействия запрашивает следующие документы: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сведения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Указанные сведения казачье общество вправе представить самостоятельно.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10. Исполнительный орган власти в течение 10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</w:t>
      </w:r>
      <w:hyperlink w:anchor="P3902" w:history="1">
        <w:r>
          <w:rPr>
            <w:color w:val="0000FF"/>
          </w:rPr>
          <w:t>пункте 8</w:t>
        </w:r>
      </w:hyperlink>
      <w:r>
        <w:t xml:space="preserve"> Порядка, рассматривает его и документы, предусмотренные </w:t>
      </w:r>
      <w:hyperlink w:anchor="P3902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3905" w:history="1">
        <w:r>
          <w:rPr>
            <w:color w:val="0000FF"/>
          </w:rPr>
          <w:t>9</w:t>
        </w:r>
      </w:hyperlink>
      <w:r>
        <w:t xml:space="preserve"> Порядка, принимает решение в форме приказа о предоставлении субсидии или об отказе в ее </w:t>
      </w:r>
      <w:r>
        <w:lastRenderedPageBreak/>
        <w:t>предоставлении.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Предоставление субсидии осуществляется в порядке очередности, формируемой, исходя из даты поступления документов, соответствующих требованиям и условиям, которые предусмотрены Порядком.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37" w:name="P3911"/>
      <w:bookmarkEnd w:id="37"/>
      <w:r>
        <w:t>11. По состоянию на дату регистрации заявления и документов казачье общество должно соответствовать следующим совокупным требованиям: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11.1.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11.2. Отсутствие просроченной задолженности по возврату в бюджет автономного округа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автономного округа.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11.3. Ненахождение в процессе реорганизации, ликвидации, банкротства.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12. Основаниями для отказа в предоставлении субсидии являются: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документов, предусмотренных </w:t>
      </w:r>
      <w:hyperlink w:anchor="P3902" w:history="1">
        <w:r>
          <w:rPr>
            <w:color w:val="0000FF"/>
          </w:rPr>
          <w:t>пунктом 8</w:t>
        </w:r>
      </w:hyperlink>
      <w:r>
        <w:t xml:space="preserve"> Порядка;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недостоверность представленных документов;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несоответствие казачьего общества требованиям, предусмотренным </w:t>
      </w:r>
      <w:hyperlink w:anchor="P3911" w:history="1">
        <w:r>
          <w:rPr>
            <w:color w:val="0000FF"/>
          </w:rPr>
          <w:t>пунктом 11</w:t>
        </w:r>
      </w:hyperlink>
      <w:r>
        <w:t xml:space="preserve"> Порядка.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13. Правовыми актами исполнительных органов власти - соисполнителей мероприятия 3.1 государственной программы устанавливаются: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порядок расчета и обоснование размера субсидии (формулы расчета и порядок их применения и (или) нормативы затрат, статистические данные и иная информация исходя из целей предоставления субсидии);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перечень документов, подтверждающих фактически произведенные затраты.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Исполнительный орган власти в течение 10 рабочих дней со дня принятия решения о предоставлении субсидии (об отказе в ее предоставлении) направляет казачьему обществу заказным письмом с уведомлением проект договора в соответствии с типовой формой, утвержденной Департаментом финансов автономного округа (далее - договор), либо уведомление об отказе в предоставлении субсидии с указанием причин.</w:t>
      </w:r>
      <w:proofErr w:type="gramEnd"/>
    </w:p>
    <w:p w:rsidR="00EB3305" w:rsidRDefault="00EB3305">
      <w:pPr>
        <w:pStyle w:val="ConsPlusNormal"/>
        <w:spacing w:before="220"/>
        <w:ind w:firstLine="540"/>
        <w:jc w:val="both"/>
      </w:pPr>
      <w:r>
        <w:t>Решение о предоставлении субсидии принимает в форме приказа исполнительный орган власти.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15. Договор должен содержать следующие положения: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перечень конкретных мероприятий, в реализации которых обязуются принять участие члены казачьего общества;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сроки выполнения мероприятий;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количество членов казачьего общества, привлекаемых к оказанию содействия исполнительному органу власти в осуществлении установленных полномочий;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размер и сроки предоставления субсидии;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lastRenderedPageBreak/>
        <w:t xml:space="preserve">порядок приемки выполненных обязательств и </w:t>
      </w:r>
      <w:proofErr w:type="gramStart"/>
      <w:r>
        <w:t>контроля за</w:t>
      </w:r>
      <w:proofErr w:type="gramEnd"/>
      <w:r>
        <w:t xml:space="preserve"> соблюдением условий договора, в том числе за представлением отчетности;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порядок перечисления субсидии;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банковские реквизиты для перечисления субсидии;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порядок, сроки и формы представления казачьим обществом отчетности о выполнении условий договора;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форма акта приемки выполненных обязательств;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согласие казачьего общества на осуществление исполнительным органом власти, предоставившим субсидию, и органами государственного финансового контроля проверок соблюдения условий, целей и порядка предоставления субсидии.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16. Казачье общество в течение 5 рабочих дней со дня поступления проекта договора рассматривает его, подписывает и направляет в адрес исполнительного органа власти.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В случае непредставления в адрес исполнительного органа власти подписанного договора казачье общество считается отказавшимся от заключения договора.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17. Исполнительный орган власти осуществляет перечисление субсидии в течение 5 рабочих дней со дня подписания документов, подтверждающих факт исполнения обязательств по договору.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18. Исполнительный орган власти и органы государственного финансового контроля осуществляют обязательную проверку соблюдения условий, целей и порядка предоставления субсидии.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19. В случае нарушения условий, целей и порядка предоставления субсидии, в том числе выявленных по фактам проверок, проведенных исполнительным органом власти и органами государственного финансового контроля, казачье общество возвращает субсидию в бюджет автономного округа на основании письменного требования, направленного исполнительным органом власти.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20. Казачье общество в течение 10 календарных дней со дня получения требования о возврате субсидии обязано осуществить возврат на реквизиты, указанные в требовании.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21. О возврате субсидии казачье общество письменно уведомляет исполнительный орган власти с приложением копии платежного поручения.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22. В случае неисполнения казачьим обществом требования о возврате субсидии, сумма субсидии, израсходованная с нарушением целей, условий ее предоставления, подлежит взысканию в судебном порядке в соответствии с законодательством Российской Федерации.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23. Казачье общество несет полную ответственность за соблюдение целей и условий предоставления субсидии в соответствии с законодательством Российской Федерации.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right"/>
        <w:outlineLvl w:val="0"/>
      </w:pPr>
      <w:r>
        <w:t>Приложение 7</w:t>
      </w:r>
    </w:p>
    <w:p w:rsidR="00EB3305" w:rsidRDefault="00EB3305">
      <w:pPr>
        <w:pStyle w:val="ConsPlusNormal"/>
        <w:jc w:val="right"/>
      </w:pPr>
      <w:r>
        <w:t>к постановлению</w:t>
      </w:r>
    </w:p>
    <w:p w:rsidR="00EB3305" w:rsidRDefault="00EB3305">
      <w:pPr>
        <w:pStyle w:val="ConsPlusNormal"/>
        <w:jc w:val="right"/>
      </w:pPr>
      <w:r>
        <w:t>Правительства</w:t>
      </w:r>
    </w:p>
    <w:p w:rsidR="00EB3305" w:rsidRDefault="00EB3305">
      <w:pPr>
        <w:pStyle w:val="ConsPlusNormal"/>
        <w:jc w:val="right"/>
      </w:pPr>
      <w:r>
        <w:lastRenderedPageBreak/>
        <w:t>Ханты-Мансийского</w:t>
      </w:r>
    </w:p>
    <w:p w:rsidR="00EB3305" w:rsidRDefault="00EB3305">
      <w:pPr>
        <w:pStyle w:val="ConsPlusNormal"/>
        <w:jc w:val="right"/>
      </w:pPr>
      <w:r>
        <w:t>автономного округа - Югры</w:t>
      </w:r>
    </w:p>
    <w:p w:rsidR="00EB3305" w:rsidRDefault="00EB3305">
      <w:pPr>
        <w:pStyle w:val="ConsPlusNormal"/>
        <w:jc w:val="right"/>
      </w:pPr>
      <w:r>
        <w:t>от 5 октября 2018 года N 349-п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</w:pPr>
      <w:bookmarkStart w:id="38" w:name="P3956"/>
      <w:bookmarkEnd w:id="38"/>
      <w:r>
        <w:t>ПОРЯДОК</w:t>
      </w:r>
    </w:p>
    <w:p w:rsidR="00EB3305" w:rsidRDefault="00EB3305">
      <w:pPr>
        <w:pStyle w:val="ConsPlusTitle"/>
        <w:jc w:val="center"/>
      </w:pPr>
      <w:r>
        <w:t>ПРЕДОСТАВЛЕНИЯ СУБСИДИИ НА РЕАЛИЗАЦИЮ МЕРОПРИЯТИЯ 3.3</w:t>
      </w:r>
    </w:p>
    <w:p w:rsidR="00EB3305" w:rsidRDefault="00EB3305">
      <w:pPr>
        <w:pStyle w:val="ConsPlusTitle"/>
        <w:jc w:val="center"/>
      </w:pPr>
      <w:r>
        <w:t>ПОДПРОГРАММЫ 3 "РАЗВИТИЕ РОССИЙСКОГО КАЗАЧЕСТВА"</w:t>
      </w:r>
    </w:p>
    <w:p w:rsidR="00EB3305" w:rsidRDefault="00EB3305">
      <w:pPr>
        <w:pStyle w:val="ConsPlusTitle"/>
        <w:jc w:val="center"/>
      </w:pPr>
      <w:r>
        <w:t>ГОСУДАРСТВЕННОЙ ПРОГРАММЫ (ДАЛЕЕ - ПОРЯДОК)</w:t>
      </w:r>
    </w:p>
    <w:p w:rsidR="00EB3305" w:rsidRDefault="00EB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15.02.2019 N 43-п)</w:t>
            </w:r>
          </w:p>
        </w:tc>
      </w:tr>
    </w:tbl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определяет цели, условия и процедуру предоставления субсидии казачьим обществам, внесенным в установленном порядке в государственный реестр казачьих обществ в Российской Федерации и осуществляющим свою деятельность в Ханты-Мансийском автономном округе - Югре (далее - казачье общество), для реализации мероприятия 3.3 "Предоставление субсидий на возмещение фактических затрат казачьим обществам, участвующим в региональных, федеральных и международных мероприятиях по вопросам развития российского казачества" </w:t>
      </w:r>
      <w:hyperlink w:anchor="P1668" w:history="1">
        <w:r>
          <w:rPr>
            <w:color w:val="0000FF"/>
          </w:rPr>
          <w:t>подпрограммы 3</w:t>
        </w:r>
        <w:proofErr w:type="gramEnd"/>
      </w:hyperlink>
      <w:r>
        <w:t xml:space="preserve"> "Развитие российского казачества" государственной программы (далее - субсидия).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2. Субсидия предоставляется казачьим обществам в целях: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привлечения казачьих обществ к участию в региональных, межрегиональных, федеральных, международных мероприятиях по вопросам развития российского казачества;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создания условий для участия членов казачьих обществ в региональных, межрегиональных, федеральных, международных мероприятиях по вопросам развития российского казачества (далее - мероприятия).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3. Субсидия предоставляется на возмещение фактических затрат казачьему обществу, члены которого приняли участие в мероприятии, по следующим видам расходов: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а) оплата проезда к месту проведения мероприятия и обратно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возмещается по подтвержденным фактическим затратам, но не выше стоимости проезда: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воздушным транспортом - тариф проезда в салоне экономического класса;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железнодорожным транспортом - тариф проезда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сидения, вагоне типа "П";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автомобильным транспортом - тариф проезда в автобусе общего типа;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личным транспортом - в порядке, предусмотренном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Думы автономного округа от 1 марта 2010 года N 4676 "Об утверждении официального толкования отдельных норм Закона Ханты-Мансийского автономного округа - Югры "О гарантиях и компенсациях для лиц, проживающих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Югре, работающих в государственных органах и государственных учреждениях Ханты-Мансийского автономного округа - Югры";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lastRenderedPageBreak/>
        <w:t>б) оплата найма жилого помещения в период участия в мероприятиях, но не выше 3500 рублей в сутки на человека.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Фактические затраты могут быть осуществлены членом казачьего общества, принявшим участие в мероприятии.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4. Субсидию предоставляет Депполитики Югры в пределах лимитов бюджетных обязательств на предоставление субсидий, утвержденных в установленном порядке на соответствующий финансовый год.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Предоставление субсидии осуществляется в порядке очередности, формируемой, исходя из даты поступления документов, соответствующих требованиям и условиям, которые предусмотрены Порядком.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5. Основанием для предоставления субсидии является договор о предоставлении субсидии, заключенный между Депполитики Югры и казачьим обществом (далее - договор).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6. Для получения субсидии казачье общество направляет в Депполитики Югры заявку произвольной формы о предоставлении субсидии (далее - заявка), подписанную атаманом казачьего общества, регистрируемую в день ее поступления.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В заявке указывает идентификационный номер налогоплательщика (ИНН)/код причины постановки на учет (КПП).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39" w:name="P3981"/>
      <w:bookmarkEnd w:id="39"/>
      <w:r>
        <w:t>7. К заявке казачье общество прилагает следующие документы: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копию документа, подтверждающего членство гражданина в казачьем обществе;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копию документов, подтверждающих проведение мероприятия по вопросам развития российского казачества (официальное приглашение, программа мероприятия);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копию документа, удостоверяющего личность члена казачьего общества, принявшего участие в мероприятии;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документ, подтверждающий участие члена казачьего общества в мероприятии;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отчет о произведенных казачьим обществом или его членами расходах с приложением копий документов, подтверждающих затраты на оплату проезда члена казачьего общества к месту проведения мероприятия и обратно, наем жилого помещения;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справку о просроченной задолженности по субсидиям, бюджетным инвестициям и иным средствам, предоставленным из бюджета автономного округа, по форме, утвержденной финансовым органом субъекта.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Копии представляемых документов должны быть заверены надлежащим образом и скреплены печатью казачьего общества.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8. Казачье общество не позднее 90 календарных дней со дня начала проведения мероприятия представляет в Депполитики Югры заявку и документы, предусмотренные </w:t>
      </w:r>
      <w:hyperlink w:anchor="P3981" w:history="1">
        <w:r>
          <w:rPr>
            <w:color w:val="0000FF"/>
          </w:rPr>
          <w:t>пунктом 7</w:t>
        </w:r>
      </w:hyperlink>
      <w:r>
        <w:t xml:space="preserve"> Порядка.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40" w:name="P3990"/>
      <w:bookmarkEnd w:id="40"/>
      <w:r>
        <w:t xml:space="preserve">9. При рассмотрении документов, указанных в </w:t>
      </w:r>
      <w:hyperlink w:anchor="P3981" w:history="1">
        <w:r>
          <w:rPr>
            <w:color w:val="0000FF"/>
          </w:rPr>
          <w:t>пункте 7</w:t>
        </w:r>
      </w:hyperlink>
      <w:r>
        <w:t xml:space="preserve"> Порядка, Депполитики Югры в порядке межведомственного информационного взаимодействия запрашивает следующие документы: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lastRenderedPageBreak/>
        <w:t>сведения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Указанные сведения казачье общество вправе представить самостоятельно.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41" w:name="P3994"/>
      <w:bookmarkEnd w:id="41"/>
      <w:r>
        <w:t xml:space="preserve">10. Депполитики Югры в течение 10 рабочих дней со дня регистрации заявки рассматривает ее и документы, предусмотренные </w:t>
      </w:r>
      <w:hyperlink w:anchor="P3981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3990" w:history="1">
        <w:r>
          <w:rPr>
            <w:color w:val="0000FF"/>
          </w:rPr>
          <w:t>9</w:t>
        </w:r>
      </w:hyperlink>
      <w:r>
        <w:t xml:space="preserve"> Порядка, и соблюдение требований, указанных в </w:t>
      </w:r>
      <w:hyperlink w:anchor="P3995" w:history="1">
        <w:r>
          <w:rPr>
            <w:color w:val="0000FF"/>
          </w:rPr>
          <w:t>пункте 11</w:t>
        </w:r>
      </w:hyperlink>
      <w:r>
        <w:t xml:space="preserve"> Порядка, по результатам чего принимает решение в форме приказа о предоставлении субсидии или об отказе в ее предоставлении.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42" w:name="P3995"/>
      <w:bookmarkEnd w:id="42"/>
      <w:r>
        <w:t xml:space="preserve">11. По состоянию на дату регистрации заявления и документов, указанных в </w:t>
      </w:r>
      <w:hyperlink w:anchor="P3981" w:history="1">
        <w:r>
          <w:rPr>
            <w:color w:val="0000FF"/>
          </w:rPr>
          <w:t>пункте 7</w:t>
        </w:r>
      </w:hyperlink>
      <w:r>
        <w:t xml:space="preserve"> Порядка, казачье общество должно соответствовать следующим совокупным требованиям: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11.1.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11.2. Отсутствие просроченной задолженности по возврату в бюджет автономного округа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автономного округа.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11.3. Ненахождение в процессе реорганизации, ликвидации, банкротства.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12. Основаниями для отказа в предоставлении субсидии являются: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документов, предусмотренных </w:t>
      </w:r>
      <w:hyperlink w:anchor="P3981" w:history="1">
        <w:r>
          <w:rPr>
            <w:color w:val="0000FF"/>
          </w:rPr>
          <w:t>пунктом 7</w:t>
        </w:r>
      </w:hyperlink>
      <w:r>
        <w:t xml:space="preserve"> Порядка;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недостоверность представленных документов;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несоответствие казачьего общества требованиям, предусмотренным </w:t>
      </w:r>
      <w:hyperlink w:anchor="P3995" w:history="1">
        <w:r>
          <w:rPr>
            <w:color w:val="0000FF"/>
          </w:rPr>
          <w:t>пунктом 11</w:t>
        </w:r>
      </w:hyperlink>
      <w:r>
        <w:t xml:space="preserve"> Порядка.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13. Депполитики Югры в течение 5 рабочих дней со дня издания приказа, предусмотренного </w:t>
      </w:r>
      <w:hyperlink w:anchor="P3994" w:history="1">
        <w:r>
          <w:rPr>
            <w:color w:val="0000FF"/>
          </w:rPr>
          <w:t>пунктом 10</w:t>
        </w:r>
      </w:hyperlink>
      <w:r>
        <w:t xml:space="preserve"> Порядка, направляет казачьему обществу проект договора в соответствии с типовой формой, утвержденной Департаментом финансов автономного округа (далее - договор), либо уведомление об отказе в предоставлении субсидии с указанием причин.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14. Договор должен содержать следующие положения: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целевое назначение предоставления субсидии;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порядок перечисления субсидии;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банковские реквизиты для перечисления субсидии;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соблюдением условий договора, в том числе за представлением отчетности;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согласие казачьего общества на осуществление Депполитики Югры и органами государственного финансового контроля проверок соблюдения условий, целей и порядка предоставления субсидии.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15. В случае недостаточности лимитов бюджетных обязатель</w:t>
      </w:r>
      <w:proofErr w:type="gramStart"/>
      <w:r>
        <w:t>ств дл</w:t>
      </w:r>
      <w:proofErr w:type="gramEnd"/>
      <w:r>
        <w:t xml:space="preserve">я возмещения расходов в текущем году в полном объеме договор заключается на сумму в пределах имеющихся лимитов </w:t>
      </w:r>
      <w:r>
        <w:lastRenderedPageBreak/>
        <w:t>бюджетных обязательств на предоставление субсидии. Договор на оставшуюся сумму субсидии заключается в следующем финансовом году.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16. Депполитики Югры перечисляет субсидию казачьему обществу в течение 5 рабочих дней со дня заключения договора.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17. Депполитики Югры и органы государственного финансового контроля осуществляют обязательную проверку соблюдения условий, целей и порядка предоставления субсидии.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18. В случае нарушения условий, целей и порядка предоставления субсидии, в том числе выявленных по фактам проверок, проведенных Депполитики Югры и органами государственного финансового контроля, казачье общество возвращает субсидию в бюджет автономного округа на основании письменного требования, направленного Депполитики Югры.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19. Казачье общество в течение 10 календарных дней со дня получения требования о возврате субсидии обязано осуществить возврат на реквизиты, указанные в требовании.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20. О возврате субсидии казачье общество письменно уведомляет Депполитики Югры с приложением копии платежного поручения.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21. В случае неисполнения казачьим обществом требования о возврате субсидии сумма субсидии, израсходованная с нарушением целей, условий ее предоставления, подлежит взысканию в судебном порядке в соответствии с законодательством Российской Федерации.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22. Казачье общество несет полную ответственность за соблюдение целей и условий предоставления субсидии в соответствии с законодательством Российской Федерации.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right"/>
        <w:outlineLvl w:val="0"/>
      </w:pPr>
      <w:r>
        <w:t>Приложение 8</w:t>
      </w:r>
    </w:p>
    <w:p w:rsidR="00EB3305" w:rsidRDefault="00EB3305">
      <w:pPr>
        <w:pStyle w:val="ConsPlusNormal"/>
        <w:jc w:val="right"/>
      </w:pPr>
      <w:r>
        <w:t>к постановлению</w:t>
      </w:r>
    </w:p>
    <w:p w:rsidR="00EB3305" w:rsidRDefault="00EB3305">
      <w:pPr>
        <w:pStyle w:val="ConsPlusNormal"/>
        <w:jc w:val="right"/>
      </w:pPr>
      <w:r>
        <w:t>Правительства</w:t>
      </w:r>
    </w:p>
    <w:p w:rsidR="00EB3305" w:rsidRDefault="00EB3305">
      <w:pPr>
        <w:pStyle w:val="ConsPlusNormal"/>
        <w:jc w:val="right"/>
      </w:pPr>
      <w:r>
        <w:t>Ханты-Мансийского</w:t>
      </w:r>
    </w:p>
    <w:p w:rsidR="00EB3305" w:rsidRDefault="00EB3305">
      <w:pPr>
        <w:pStyle w:val="ConsPlusNormal"/>
        <w:jc w:val="right"/>
      </w:pPr>
      <w:r>
        <w:t>автономного округа - Югры</w:t>
      </w:r>
    </w:p>
    <w:p w:rsidR="00EB3305" w:rsidRDefault="00EB3305">
      <w:pPr>
        <w:pStyle w:val="ConsPlusNormal"/>
        <w:jc w:val="right"/>
      </w:pPr>
      <w:r>
        <w:t>от 5 октября 2018 года N 349-п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</w:pPr>
      <w:bookmarkStart w:id="43" w:name="P4031"/>
      <w:bookmarkEnd w:id="43"/>
      <w:r>
        <w:t>ПОРЯДОК</w:t>
      </w:r>
    </w:p>
    <w:p w:rsidR="00EB3305" w:rsidRDefault="00EB3305">
      <w:pPr>
        <w:pStyle w:val="ConsPlusTitle"/>
        <w:jc w:val="center"/>
      </w:pPr>
      <w:r>
        <w:t>ПРЕДОСТАВЛЕНИЯ СУБСИДИИ НА РЕАЛИЗАЦИЮ МЕРОПРИЯТИЯ 3.5</w:t>
      </w:r>
    </w:p>
    <w:p w:rsidR="00EB3305" w:rsidRDefault="00EB3305">
      <w:pPr>
        <w:pStyle w:val="ConsPlusTitle"/>
        <w:jc w:val="center"/>
      </w:pPr>
      <w:r>
        <w:t>ПОДПРОГРАММЫ 3 "РАЗВИТИЕ РОССИЙСКОГО КАЗАЧЕСТВА"</w:t>
      </w:r>
    </w:p>
    <w:p w:rsidR="00EB3305" w:rsidRDefault="00EB3305">
      <w:pPr>
        <w:pStyle w:val="ConsPlusTitle"/>
        <w:jc w:val="center"/>
      </w:pPr>
      <w:r>
        <w:t>ГОСУДАРСТВЕННОЙ ПРОГРАММЫ (ДАЛЕЕ - ПОРЯДОК)</w:t>
      </w:r>
    </w:p>
    <w:p w:rsidR="00EB3305" w:rsidRDefault="00EB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15.02.2019 N 43-п;</w:t>
            </w:r>
          </w:p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03.10.2019 N 349-п)</w:t>
            </w:r>
          </w:p>
        </w:tc>
      </w:tr>
    </w:tbl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определяет цели, условия и процедуру предоставления субсидии казачьим обществам, внесенным в установленном порядке в государственный реестр казачьих обществ в Российской Федерации и осуществляющим свою деятельность в Ханты-Мансийском автономном округе - Югре (далее - казачье общество), для реализации мероприятия 3.5 "Субсидии казачьим обществам на осуществление деятельности по развитию и сохранению самобытной культуры российского казачества и военно-патриотическому воспитанию молодежи" </w:t>
      </w:r>
      <w:hyperlink w:anchor="P1668" w:history="1">
        <w:r>
          <w:rPr>
            <w:color w:val="0000FF"/>
          </w:rPr>
          <w:t>подпрограммы 3</w:t>
        </w:r>
      </w:hyperlink>
      <w:r>
        <w:t xml:space="preserve"> "Развитие российского</w:t>
      </w:r>
      <w:proofErr w:type="gramEnd"/>
      <w:r>
        <w:t xml:space="preserve"> казачества" государственной программы (далее - субсидия).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44" w:name="P4040"/>
      <w:bookmarkEnd w:id="44"/>
      <w:r>
        <w:lastRenderedPageBreak/>
        <w:t>2. Субсидия предоставляется казачьим обществам в целях активизации их деятельности по развитию и сохранению самобытной культуры российского казачества и военно-патриотическому воспитанию молодежи на возмещение фактических затрат, связанных с приобретением: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форменного обмундирования;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традиционной казачьей одежды;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спортивного и туристического инвентаря;</w:t>
      </w:r>
    </w:p>
    <w:p w:rsidR="00EB3305" w:rsidRDefault="00EB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305" w:rsidRDefault="00EB330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абзаца пятого пункта 2, введенного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03.10.2019 N 349-п, </w:t>
            </w:r>
            <w:hyperlink r:id="rId6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2019 года.</w:t>
            </w:r>
          </w:p>
        </w:tc>
      </w:tr>
    </w:tbl>
    <w:p w:rsidR="00EB3305" w:rsidRDefault="00EB3305">
      <w:pPr>
        <w:pStyle w:val="ConsPlusNormal"/>
        <w:spacing w:before="280"/>
        <w:ind w:firstLine="540"/>
        <w:jc w:val="both"/>
      </w:pPr>
      <w:r>
        <w:t>байдарок, каяков, каноэ, лодок гребных, надувных;</w:t>
      </w:r>
    </w:p>
    <w:p w:rsidR="00EB3305" w:rsidRDefault="00EB3305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03.10.2019 N 349-п)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учебно-методических и наглядных пособий, аудио-, видеоматериалов, связанных с историей и традициями российского казачества;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казачьей символики и атрибутики.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3. Субсидию предоставляет Депполитики Югры в пределах лимитов бюджетных обязательств на предоставление субсидии, утвержденных в установленном порядке на соответствующий финансовый год.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Предоставление субсидии осуществляется в порядке очередности, формируемой, исходя из даты поступления документов, соответствующих требованиям и условиям, которые предусмотрены Порядком.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4. Основанием для предоставления субсидии является договор о предоставлении субсидии, заключенный между Депполитики Югры и казачьим обществом (далее - договор).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5. Для получения субсидии казачье общество направляет в Депполитики Югры заявку произвольной формы о предоставлении субсидии (далее - заявка), подписанную атаманом казачьего общества, регистрируемую в день ее поступления.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В заявке указывает идентификационный номер налогоплательщика (ИНН)/код причины постановки на учет (КПП).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45" w:name="P4054"/>
      <w:bookmarkEnd w:id="45"/>
      <w:r>
        <w:t>6. К заявке казачье общество прилагает следующие документы: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банковские реквизиты для перечисления субсидии;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отчет о произведенных казачьим обществом расходах с приложением копий документов, подтверждающих затраты на приобретение материальных ценностей в соответствии с </w:t>
      </w:r>
      <w:hyperlink w:anchor="P4040" w:history="1">
        <w:r>
          <w:rPr>
            <w:color w:val="0000FF"/>
          </w:rPr>
          <w:t>пунктом 2</w:t>
        </w:r>
      </w:hyperlink>
      <w:r>
        <w:t xml:space="preserve"> Порядка в текущем финансовом году, а также в предшествующем финансовом году в соответствии с </w:t>
      </w:r>
      <w:hyperlink w:anchor="P4085" w:history="1">
        <w:r>
          <w:rPr>
            <w:color w:val="0000FF"/>
          </w:rPr>
          <w:t>пунктом 14</w:t>
        </w:r>
      </w:hyperlink>
      <w:r>
        <w:t xml:space="preserve"> Порядка;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справку о просроченной задолженности по субсидиям, бюджетным инвестициям и иным средствам, предоставленным из бюджета автономного округа, по форме утвержденной финансовым органом субъекта.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Копии представляемых документов должны быть заверены надлежащим образом и скреплены печатью казачьего общества.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46" w:name="P4059"/>
      <w:bookmarkEnd w:id="46"/>
      <w:r>
        <w:t xml:space="preserve">7. При рассмотрении документов, представляемых казачьим обществом, Депполитики Югры </w:t>
      </w:r>
      <w:r>
        <w:lastRenderedPageBreak/>
        <w:t>в порядке межведомственного информационного взаимодействия запрашивает следующие документы: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сведения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Указанные документы казачье общество вправе представить самостоятельно.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47" w:name="P4063"/>
      <w:bookmarkEnd w:id="47"/>
      <w:r>
        <w:t xml:space="preserve">8. Депполитики Югры в течение 15 рабочих дней со дня регистрации заявки рассматривает ее и документы, предусмотренные </w:t>
      </w:r>
      <w:hyperlink w:anchor="P4054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4059" w:history="1">
        <w:r>
          <w:rPr>
            <w:color w:val="0000FF"/>
          </w:rPr>
          <w:t>7</w:t>
        </w:r>
      </w:hyperlink>
      <w:r>
        <w:t xml:space="preserve"> Порядка, и принимает решение в форме приказа о предоставлении субсидии или об отказе в ее предоставлении.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48" w:name="P4064"/>
      <w:bookmarkEnd w:id="48"/>
      <w:r>
        <w:t>9. По состоянию на дату регистрации заявления и документов казачье общество должно соответствовать следующим совокупным требованиям: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9.1.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9.2. Отсутствие просроченной задолженности по возврату в бюджет автономного округа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автономного округа.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9.3. Ненахождение в процессе реорганизации, ликвидации, банкротства.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документов, предусмотренных </w:t>
      </w:r>
      <w:hyperlink w:anchor="P4059" w:history="1">
        <w:r>
          <w:rPr>
            <w:color w:val="0000FF"/>
          </w:rPr>
          <w:t>пунктом 7</w:t>
        </w:r>
      </w:hyperlink>
      <w:r>
        <w:t xml:space="preserve"> Порядка;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недостоверность представленных документов;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несоответствие казачьего общества требованиям, предусмотренным </w:t>
      </w:r>
      <w:hyperlink w:anchor="P4064" w:history="1">
        <w:r>
          <w:rPr>
            <w:color w:val="0000FF"/>
          </w:rPr>
          <w:t>пунктом 9</w:t>
        </w:r>
      </w:hyperlink>
      <w:r>
        <w:t xml:space="preserve"> Порядка.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11. Депполитики Югры в течение 5 рабочих дней со дня издания приказа, предусмотренного </w:t>
      </w:r>
      <w:hyperlink w:anchor="P4063" w:history="1">
        <w:r>
          <w:rPr>
            <w:color w:val="0000FF"/>
          </w:rPr>
          <w:t>пунктом 8</w:t>
        </w:r>
      </w:hyperlink>
      <w:r>
        <w:t xml:space="preserve"> Порядка, направляет казачьему обществу проект договора в соответствии с типовой формой, утвержденной Департаментом финансов автономного округа (далее - договор), либо уведомление об отказе в предоставлении субсидии с указанием причин.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12. Договор должен содержать следующие положения: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целевое назначение предоставления субсидии;</w:t>
      </w:r>
    </w:p>
    <w:p w:rsidR="00EB3305" w:rsidRDefault="00EB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305" w:rsidRDefault="00EB330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абзаца третьего пункта 12, введенного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03.10.2019 N 349-п, </w:t>
            </w:r>
            <w:hyperlink r:id="rId6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2019 года.</w:t>
            </w:r>
          </w:p>
        </w:tc>
      </w:tr>
    </w:tbl>
    <w:p w:rsidR="00EB3305" w:rsidRDefault="00EB3305">
      <w:pPr>
        <w:pStyle w:val="ConsPlusNormal"/>
        <w:spacing w:before="280"/>
        <w:ind w:firstLine="540"/>
        <w:jc w:val="both"/>
      </w:pPr>
      <w:r>
        <w:t>требования соблюдения законодательства Российской Федерации в сфере обеспечения безопасности при проведении мероприятий с участием граждан;</w:t>
      </w:r>
    </w:p>
    <w:p w:rsidR="00EB3305" w:rsidRDefault="00EB3305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03.10.2019 N 349-п)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форма отчета об использовании субсидии и сроки его предоставления;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lastRenderedPageBreak/>
        <w:t>порядок перечисления субсидии;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банковские реквизиты для перечисления субсидии;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соблюдением условий договора, в том числе за представлением отчетности;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согласие казачьего общества на осуществление Депполитики Югры и органами государственного финансового контроля проверок соблюдения условий, целей и порядка предоставления субсидии.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13. Депполитики Югры перечисляет субсидию казачьему обществу в течение 7 рабочих дней со дня заключения договора.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49" w:name="P4085"/>
      <w:bookmarkEnd w:id="49"/>
      <w:r>
        <w:t>14. В случае недостаточности лимитов бюджетных обязатель</w:t>
      </w:r>
      <w:proofErr w:type="gramStart"/>
      <w:r>
        <w:t>ств дл</w:t>
      </w:r>
      <w:proofErr w:type="gramEnd"/>
      <w:r>
        <w:t>я возмещения расходов в текущем году в полном объеме договор заключается на сумму в пределах имеющихся лимитов бюджетных обязательств на предоставление субсидии. Договор на оставшуюся сумму субсидии заключается в следующем финансовом году.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15. Депполитики Югры и органы государственного финансового контроля осуществляют обязательную проверку соблюдения условий, целей и порядка предоставления субсидии.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16. В случае нарушения условий, целей и порядка предоставления субсидии, в том числе выявленных по фактам проверок, проведенных Депполитики Югры и органами государственного финансового контроля, казачье общество возвращает субсидию в бюджет автономного округа на основании письменного требования, направленного Депполитики Югры.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17. Казачье общество в течение 10 календарных дней со дня получения требования о возврате субсидии обязано осуществить возврат на реквизиты, указанные в требовании.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18. О возврате субсидии казачье общество письменно уведомляет Депполитики Югры с приложением копии платежного поручения.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19. В случае неисполнения казачьим обществом требования о возврате субсидии сумма субсидии, израсходованная с нарушением целей, условий ее предоставления, подлежит взысканию в судебном порядке в соответствии с законодательством Российской Федерации.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20. Казачье общество несет полную ответственность за соблюдение целей и условий предоставления субсидии в соответствии с законодательством Российской Федерации.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right"/>
        <w:outlineLvl w:val="0"/>
      </w:pPr>
      <w:r>
        <w:t>Приложение 9</w:t>
      </w:r>
    </w:p>
    <w:p w:rsidR="00EB3305" w:rsidRDefault="00EB3305">
      <w:pPr>
        <w:pStyle w:val="ConsPlusNormal"/>
        <w:jc w:val="right"/>
      </w:pPr>
      <w:r>
        <w:t>к постановлению</w:t>
      </w:r>
    </w:p>
    <w:p w:rsidR="00EB3305" w:rsidRDefault="00EB3305">
      <w:pPr>
        <w:pStyle w:val="ConsPlusNormal"/>
        <w:jc w:val="right"/>
      </w:pPr>
      <w:r>
        <w:t>Правительства Ханты-Мансийского</w:t>
      </w:r>
    </w:p>
    <w:p w:rsidR="00EB3305" w:rsidRDefault="00EB3305">
      <w:pPr>
        <w:pStyle w:val="ConsPlusNormal"/>
        <w:jc w:val="right"/>
      </w:pPr>
      <w:r>
        <w:t>автономного округа - Югры</w:t>
      </w:r>
    </w:p>
    <w:p w:rsidR="00EB3305" w:rsidRDefault="00EB3305">
      <w:pPr>
        <w:pStyle w:val="ConsPlusNormal"/>
        <w:jc w:val="right"/>
      </w:pPr>
      <w:r>
        <w:t>от 5 октября 2018 года N 349-п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</w:pPr>
      <w:bookmarkStart w:id="50" w:name="P4103"/>
      <w:bookmarkEnd w:id="50"/>
      <w:r>
        <w:t>ПОРЯДОК</w:t>
      </w:r>
    </w:p>
    <w:p w:rsidR="00EB3305" w:rsidRDefault="00EB3305">
      <w:pPr>
        <w:pStyle w:val="ConsPlusTitle"/>
        <w:jc w:val="center"/>
      </w:pPr>
      <w:r>
        <w:t>ПРЕДОСТАВЛЕНИЯ ГРАНТОВ В ФОРМЕ СУБСИДИИ ПОБЕДИТЕЛЯМ КОНКУРСА</w:t>
      </w:r>
    </w:p>
    <w:p w:rsidR="00EB3305" w:rsidRDefault="00EB3305">
      <w:pPr>
        <w:pStyle w:val="ConsPlusTitle"/>
        <w:jc w:val="center"/>
      </w:pPr>
      <w:r>
        <w:t>ПО ВОПРОСАМ РАЗВИТИЯ КАДЕТСКИХ КЛАССОВ С КАЗАЧЬИМ</w:t>
      </w:r>
    </w:p>
    <w:p w:rsidR="00EB3305" w:rsidRDefault="00EB3305">
      <w:pPr>
        <w:pStyle w:val="ConsPlusTitle"/>
        <w:jc w:val="center"/>
      </w:pPr>
      <w:r>
        <w:t xml:space="preserve">КОМПОНЕНТОМ НА БАЗЕ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EB3305" w:rsidRDefault="00EB3305">
      <w:pPr>
        <w:pStyle w:val="ConsPlusTitle"/>
        <w:jc w:val="center"/>
      </w:pPr>
      <w:r>
        <w:t>ОРГАНИЗАЦИЙ В ХАНТЫ-МАНСИЙСКОМ АВТОНОМНОМ ОКРУГЕ - ЮГРЕ</w:t>
      </w:r>
    </w:p>
    <w:p w:rsidR="00EB3305" w:rsidRDefault="00EB3305">
      <w:pPr>
        <w:pStyle w:val="ConsPlusTitle"/>
        <w:jc w:val="center"/>
      </w:pPr>
      <w:r>
        <w:t>(ДАЛЕЕ - ПОРЯДОК)</w:t>
      </w:r>
    </w:p>
    <w:p w:rsidR="00EB3305" w:rsidRDefault="00EB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305" w:rsidRDefault="00EB330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03.10.2019 N 349-п)</w:t>
            </w:r>
          </w:p>
        </w:tc>
      </w:tr>
    </w:tbl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  <w:outlineLvl w:val="1"/>
      </w:pPr>
      <w:r>
        <w:t>1. Общие положения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>1.1. Порядок определяет цели, условия, размеры и правила предоставления грантов в форме субсидии из бюджета Ханты-Мансийского автономного округа - Югры (далее - автономный округ) для реализации Программ, способствующих: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созданию и обеспечению условий для развития классов с казачьим компонентом;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сохранению и развитию культуры, исторических традиций и обычаев российского казачества;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духовно-нравственному, гражданско-патриотическому и военно-спортивному воспитанию детей и молодежи.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1.2. Предоставление Грантов осуществляется в ходе реализации мероприятия 3.7 "Военно-патриотическое, духовно-нравственное и физическое воспитание казачьей молодежи" </w:t>
      </w:r>
      <w:hyperlink w:anchor="P1668" w:history="1">
        <w:r>
          <w:rPr>
            <w:color w:val="0000FF"/>
          </w:rPr>
          <w:t>подпрограммы 3</w:t>
        </w:r>
      </w:hyperlink>
      <w:r>
        <w:t xml:space="preserve"> "Развитие российского казачества" настоящей государственной программы.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1.3. Организатором Конкурса является Департамент образования и молодежной политики автономного округа (далее - Департамент).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51" w:name="P4120"/>
      <w:bookmarkEnd w:id="51"/>
      <w:r>
        <w:t>1.4. Гранты предоставляются с целью финансового обеспечения затрат на проведение мероприятий, направленных на развитие духовно-культурных основ, патриотического воспитания казачьей молодежи в автономном округе и поддержку общеобразовательных организаций автономного округа, реализующих казачий компонент.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1.5. Для целей Порядка используются следующие понятия: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Гранты - денежные средства в форме субсидии, предоставляемые из бюджета автономного округа Получателям на реализацию Программ;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Заявка - комплект документов и материалов, представляемых Соискателем в соответствии с требованиями Порядка для участия в Конкурсе;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Программа - основной документ, входящий в состав Заявки и содержащий комплекс взаимосвязанных мероприятий, направленных на духовно-нравственное, гражданско-патриотическое и военно-спортивное воспитание детей и молодежи с использованием элементов культуры, исторических традиций и обычаев российского казачества, в рамках определенного срока и бюджета;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Конкурс - отбор, по результатам которого Получателям предоставляются из бюджета автономного округа Гранты для реализации их Программ;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Конкурсная комиссия - орган, работающий на общественных началах, образованный Департаментом для оценки и отбора наиболее эффективных Программ Конкурса;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Соискатель - муниципальные общеобразовательные организации, реализующие казачий компонент, не являющиеся казенными учреждениями, в отношении которых функции и полномочия учредителей осуществляют исполнительные органы государственной власти автономного округа;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lastRenderedPageBreak/>
        <w:t>Соглашение - соглашение о предоставлении Гранта, разработанное в соответствии с типовой формой, установленной Департаментом финансов автономного округа;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Экспертиза - осуществление Конкурсной комиссией оценки эффективности Программ с целью определения Получателя;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Получатель - Соискатель, Программа которого признана победившей в Конкурсе.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1.6. Категории Получателей Гранта: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муниципальные образовательные организации, не являющиеся казенными учреждениями, зарегистрированные и осуществляющие деятельность на территории автономного округа, реализующие казачий компонент.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1.7. Организацию Конкурса и предоставление Грантов Департамент осуществляет в соответствии со сводной бюджетной росписью бюджета автономного округа в пределах лимитов бюджетных обязательств, предусмотренных для реализации настоящей государственной программы на соответствующий финансовый год.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  <w:outlineLvl w:val="1"/>
      </w:pPr>
      <w:r>
        <w:t>2. Порядок объявления конкурсного отбора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>2.1. Извещение о проведении Конкурса (далее - извещение) должно содержать следующую информацию: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условия участия, порядок и критерии оценки Программ;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срок и адрес подачи Заявок;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перечень документов, представляемых для участия в конкурсном отборе;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порядок и сроки объявления результатов;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размер Грантов по каждой номинации;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форму Соглашения.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2.2. Департамент размещает извещение на своем официальном сайте (depobr-molod.admhmao.ru) не позднее 22 рабочих дней до дня окончания срока приема Заявок.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  <w:outlineLvl w:val="1"/>
      </w:pPr>
      <w:r>
        <w:t>3. Сроки, порядок подачи и рассмотрения Заявок, требования</w:t>
      </w:r>
    </w:p>
    <w:p w:rsidR="00EB3305" w:rsidRDefault="00EB3305">
      <w:pPr>
        <w:pStyle w:val="ConsPlusTitle"/>
        <w:jc w:val="center"/>
      </w:pPr>
      <w:r>
        <w:t>к документам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bookmarkStart w:id="52" w:name="P4149"/>
      <w:bookmarkEnd w:id="52"/>
      <w:r>
        <w:t>3.1. Заявка представляется в Департамент непосредственно или почтовым отправлением по адресу: 628011, Ханты-Мансийский автономный округ - Югра, г. Ханты-Мансийск, ул. Чехова, д. 12.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Заявка представляется на бумажном носителе, листы должны быть прошиты, пронумерованы. Количество листов каждого документа Соискатель вносит в опись, составляемую в 2 экземплярах, первый экземпляр описи оставляет у себя, второй прилагает к представленным документам.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3.2. В случае если последний день приема Заявок приходится на нерабочий, праздничный день, днем окончания срока считается следующий за ним рабочий день.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В случае направления Заявки посредством почтовой связи в последний день срока, что подтверждается оттиском почтового календарного штемпеля, срок подачи не считается пропущенным.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53" w:name="P4153"/>
      <w:bookmarkEnd w:id="53"/>
      <w:r>
        <w:lastRenderedPageBreak/>
        <w:t>3.3. Соискатель для участия в Конкурсе представляет в Департамент Заявку, в состав которой входят следующие документы: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а) заявление на участие в Конкурсе (далее - Заявление);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б) Программа;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в) справка о просроченной задолженности по субсидиям, бюджетным инвестициям и иным средствам, предоставленным из бюджета автономного округа, по форме, утвержденной Департаментом финансов автономного округа;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г) согласие учредителя на участие в Конкурсе, оформленное на бланке учредителя.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3.4. Форму Заявления, структуру Программы утверждает приказом Департамент.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3.5. Каждый из Соискателей может представить на участие в Конкурсе не более одной Заявки. В случае предоставления двух и более Заявок к рассмотрению принимается Заявка, поданная первой.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3.6. Соискатель имеет право по собственной инициативе представить документы, подтверждающие соответствие его требованиям, установленным </w:t>
      </w:r>
      <w:hyperlink w:anchor="P4163" w:history="1">
        <w:r>
          <w:rPr>
            <w:color w:val="0000FF"/>
          </w:rPr>
          <w:t>подпунктом 3.8.1 пункта 3.8</w:t>
        </w:r>
      </w:hyperlink>
      <w:r>
        <w:t xml:space="preserve"> Порядка.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В течение 5 рабочих дней после истечения указанного в извещении срока для подачи Заявки Департамент в порядке межведомственного информационного взаимодействия в соответствии с законодательством Российской Федерации запрашивает сведения из Единого государственного реестра юридических лиц, сведения об отсутствии неисполненной обязанности по уплате налогов, сборов, страховых взносов, пеней, штрафов и процентов, подлежащих уплате согласно законодательству о налогах и сборах, из Управления федеральной</w:t>
      </w:r>
      <w:proofErr w:type="gramEnd"/>
      <w:r>
        <w:t xml:space="preserve"> налоговой службы по автономному округу, если они не были представлены Соискателем самостоятельно.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54" w:name="P4162"/>
      <w:bookmarkEnd w:id="54"/>
      <w:r>
        <w:t>3.8. Основаниями для отказа в участии в Конкурсе являются: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55" w:name="P4163"/>
      <w:bookmarkEnd w:id="55"/>
      <w:r>
        <w:t>3.8.1. Несоответствие Соискателя одному или нескольким требованиям на дату подачи Заявки: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Соискатель не находится в процессе ликвидации, банкротства;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у Соискателя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B3305" w:rsidRDefault="00EB3305">
      <w:pPr>
        <w:pStyle w:val="ConsPlusNormal"/>
        <w:spacing w:before="220"/>
        <w:ind w:firstLine="540"/>
        <w:jc w:val="both"/>
      </w:pPr>
      <w:proofErr w:type="gramStart"/>
      <w:r>
        <w:t>Соискатель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>
        <w:t xml:space="preserve"> 50 процентов;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Соискатель не получает </w:t>
      </w:r>
      <w:proofErr w:type="gramStart"/>
      <w:r>
        <w:t>в текущем финансовом году средства из бюджета автономного округа в соответствии с иными правовыми актами на цели</w:t>
      </w:r>
      <w:proofErr w:type="gramEnd"/>
      <w:r>
        <w:t>, установленные Порядком;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у Соискателя отсутствует просроченная задолженность по возврату в бюджет автономного округа субсидий, бюджетных инвестиций, предоставленных в соответствии с иными правовыми актами.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lastRenderedPageBreak/>
        <w:t>3.8.2. Случаи: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несоответствие представленной Заявки требованиям, определенным </w:t>
      </w:r>
      <w:hyperlink w:anchor="P4149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4153" w:history="1">
        <w:r>
          <w:rPr>
            <w:color w:val="0000FF"/>
          </w:rPr>
          <w:t>3.3</w:t>
        </w:r>
      </w:hyperlink>
      <w:r>
        <w:t xml:space="preserve"> Порядка, или непредставление (представление не в полном объеме);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недостоверность информации, содержащейся в Заявке, представленной Соискателем;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представление Заявки по истечении срока, установленного в извещении;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представление Заявки, не соответствующей цели Конкурса;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представления Программы, реализация которой на момент подачи Заявки завершена.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3.9. Соискатель имеет право до истечения срока подачи Заявок, указанного в извещении: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3.9.1. Внести изменения в Заявку.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3.9.2. Отозвать Заявку без указания каких-либо причин, сообщив о своем решении в Департамент любым удобным для него способом (лично, почтовой связью, телефонной связью, Интернет). Отозванная Заявка не учитывается при подсчете количества Заявок, представленных для участия в Конкурсе.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56" w:name="P4178"/>
      <w:bookmarkEnd w:id="56"/>
      <w:r>
        <w:t>3.10. В течение 15 рабочих дней после истечения указанного в извещении срока для подачи Заявки Департамент: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проверяет наличие и соответствие установленным требованиям Заявки, предусмотренным </w:t>
      </w:r>
      <w:hyperlink w:anchor="P4153" w:history="1">
        <w:r>
          <w:rPr>
            <w:color w:val="0000FF"/>
          </w:rPr>
          <w:t>пунктом 3.3</w:t>
        </w:r>
      </w:hyperlink>
      <w:r>
        <w:t xml:space="preserve"> Порядка;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осуществляет рассмотрение Заявок на предмет отсутствия оснований для отказа в участии в Конкурсе, предусмотренных </w:t>
      </w:r>
      <w:hyperlink w:anchor="P4162" w:history="1">
        <w:r>
          <w:rPr>
            <w:color w:val="0000FF"/>
          </w:rPr>
          <w:t>пунктом 3.8</w:t>
        </w:r>
      </w:hyperlink>
      <w:r>
        <w:t xml:space="preserve"> Порядка;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по результатам рассмотрения Заявок принимает решение в форме приказа, в котором указывает Соискателей, допущенных к участию в Конкурсе и не допущенных к участию в нем, либо о продлении Конкурса, и размещает его на своем официальном сайте.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  <w:outlineLvl w:val="1"/>
      </w:pPr>
      <w:r>
        <w:t>4. Порядок определения Получателей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>4.1. Департамент ежегодно утверждает приказом срок проведения конкурсного отбора.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4.2. Персональный состав и положение о Конкурсной комиссии Департамент утверждает приказом.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4.3. Конкурс проводится по следующим номинациям: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"Образовательная программа учебного курса или образовательного модуля, направленного на реализацию казачьего компонента, с учетом региональных особенностей" (далее - номинация 1);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"Программа развития общеобразовательной организации, направленная на реализацию казачьего компонента, с учетом учебной, внеучебной деятельности и дополнительного образования" (далее - номинация 2).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4.4. Основными задачами Конкурсной комиссии являются: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оценка представленных Программ;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оформление (на основании оценочных ведомостей) протокола о результатах Конкурса, </w:t>
      </w:r>
      <w:r>
        <w:lastRenderedPageBreak/>
        <w:t>который подписывает председательствующий на заседании (далее - протокол).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57" w:name="P4193"/>
      <w:bookmarkEnd w:id="57"/>
      <w:r>
        <w:t>4.5. Оценка Программ осуществляется по следующим критериям: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актуальность (соответствие Программы направлениям </w:t>
      </w:r>
      <w:hyperlink r:id="rId69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1666, </w:t>
      </w:r>
      <w:hyperlink r:id="rId70" w:history="1">
        <w:r>
          <w:rPr>
            <w:color w:val="0000FF"/>
          </w:rPr>
          <w:t>Стратегии</w:t>
        </w:r>
      </w:hyperlink>
      <w:r>
        <w:t xml:space="preserve"> противодействия экстремизму в Российской Федерации на период до 2025 года, утвержденной Президентом Российской Федерации 28 ноября 2014 года N Пр-2753);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социальная значимость (Программа направлена на разработку и проведение комплекса мероприятий воспитательной и образовательной направленности с молодежью с целью развития казачьего компонента);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практическая значимость (Программа направлена на решение практических задач региона, муниципалитета, организации, результат реализации Программы должен быть направлен на развитие духовно-культурных основ, патриотического воспитания казачьей молодежи в автономном округе);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инновационность (новизна) (в Программе описаны новые или измененные формы реализации Программы, указаны конкретные формулировки по принципиальным отличиям предлагаемых материалов </w:t>
      </w:r>
      <w:proofErr w:type="gramStart"/>
      <w:r>
        <w:t>от</w:t>
      </w:r>
      <w:proofErr w:type="gramEnd"/>
      <w:r>
        <w:t xml:space="preserve"> уже реализованных в автономном округе);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масштаб реализации Программы (предполагаемый уровень охвата территории при реализации Программы, включающий в себя указание наименований районов, городов или других населенных пунктов, в которых будет реализовываться Программа, предусмотрена возможность расширения географии его применения);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перспективность (указана возможность продолжения деятельности после окончания субсидирования за счет собственного финансирования и самоокупаемости Программы);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экономическая эффективность (результативность реализации Программы, определяемая отношением полученного экономического эффекта к затратам на его реализацию);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кадровое обеспечение (соответствие опыта и компетенций команды планируемой деятельности; опыт организации успешной реализации программ соответствующего направления деятельности, укомплектованность Программы кадрами необходимой квалификации).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контролируемость (в Программе приведены механизмы контроля за промежуточными и конечными результатами в соответствии с целями и задачами программы (формы проведения итогов по каждой теме или каждому разделу Программы);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качество подачи материала (материал изложен профессионально грамотно: отмечаются логика, последовательность, аргументированность, системность, научно-методическая обоснованность, стиль изложения понятен, присутствует открытость и ясность изложения материала).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4.6. Программа оценивается по каждому из 10 критериев, перечисленных в </w:t>
      </w:r>
      <w:hyperlink w:anchor="P4193" w:history="1">
        <w:r>
          <w:rPr>
            <w:color w:val="0000FF"/>
          </w:rPr>
          <w:t>пункте 4.5</w:t>
        </w:r>
      </w:hyperlink>
      <w:r>
        <w:t xml:space="preserve"> Порядка, от 1 до 5 баллов (целым числом).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5 баллов - соответствует оценке "отлично"; Программа полностью соотносится с данным критерием, замечания у членов Конкурсной комиссии отсутствуют;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4 балла - соответствует оценке "хорошо"; Программа имеет незначительные ошибки в соответствии с данным критерием;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lastRenderedPageBreak/>
        <w:t>3 балла - соответствует оценке "удовлетворительно"; Программа содержит небольшое количество ошибок, что не позволяет поставить более высокую оценку;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2 балла - соответствует оценке "неудовлетворительно"; Программа содержит ошибки, подготовлена некачественно, информация по критерию присутствует, но противоречива;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1 балл - соответствует оценке "неудовлетворительно"; Программа не соответствует заявленной цели, имеет такие ошибки, которые свидетельствуют о высоких рисках реализации Программы.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4.7. Каждый член Конкурсной комиссии оценивает представленные Программы по установленным критериям и отражает соответствующие им баллы в оценочных ведомостях. Решение оформляется протоколом в срок не позднее 7 рабочих дней со дня заседания Конкурсной комиссии.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При равенстве баллов победившей признается Программа, Заявка по которой была зарегистрирована ранее. Получатель определяется наибольшей суммой набранных его Программой баллов.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4.8. На основании решения Конкурсной комиссии Департамент в течение 2 рабочих дней </w:t>
      </w:r>
      <w:proofErr w:type="gramStart"/>
      <w:r>
        <w:t>с даты подписания</w:t>
      </w:r>
      <w:proofErr w:type="gramEnd"/>
      <w:r>
        <w:t xml:space="preserve"> председательствующим протокола о результатах Конкурса определяет Получателей и издает приказ об итогах Конкурса, включающий информацию о Получателях и размере их Грантов. Протокол о результатах Конкурса и приказ об итогах Конкурса Департамент размещает на своем официальном сайте не позднее 3 рабочих дней со дня подписания приказа.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4.9. В случае поступления в номинации 1 Заявки либо выявления в отношении всех Соискателей номинации оснований, предусмотренных </w:t>
      </w:r>
      <w:hyperlink w:anchor="P4162" w:history="1">
        <w:r>
          <w:rPr>
            <w:color w:val="0000FF"/>
          </w:rPr>
          <w:t>пунктом 3.8</w:t>
        </w:r>
      </w:hyperlink>
      <w:r>
        <w:t xml:space="preserve"> Порядка, Конкурс в этой номинации признается несостоявшимся и прием Заявок на Конкурс продляется не более чем на 30 календарных дней со дня окончания срока проверки документов, установленного </w:t>
      </w:r>
      <w:hyperlink w:anchor="P4178" w:history="1">
        <w:r>
          <w:rPr>
            <w:color w:val="0000FF"/>
          </w:rPr>
          <w:t>пунктом 3.10</w:t>
        </w:r>
      </w:hyperlink>
      <w:r>
        <w:t xml:space="preserve"> Порядка.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4.10. Соискателям, не признанным Получателями, не позднее 5 рабочих дней со дня издания приказа об итогах Конкурса Департамент направляет соответствующее уведомление.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  <w:outlineLvl w:val="1"/>
      </w:pPr>
      <w:r>
        <w:t>5. Условия и порядок предоставления Грантов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>5.1. По итогам Конкурса: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в номинации 1 присваиваются 3 гранта по 100000,0 рублей каждый;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в номинации 2 присваиваются: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Грант 1 степени - 500000,0 рублей;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Грант 2 степени - 300000,0 рублей;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Грант 3 степени - 100000,0 рублей.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5.2. В течение 5 рабочих дней со дня издания приказа об итогах Конкурса Департамент направляет Получателям уведомления о принятом решении и Соглашение для подписания.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5.3. Грант может быть использован только на цели, указанные в </w:t>
      </w:r>
      <w:hyperlink w:anchor="P4120" w:history="1">
        <w:r>
          <w:rPr>
            <w:color w:val="0000FF"/>
          </w:rPr>
          <w:t>пункте 1.4</w:t>
        </w:r>
      </w:hyperlink>
      <w:r>
        <w:t xml:space="preserve"> Порядка, и направлен на финансовое обеспечение следующих расходов: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аренду (содержание) помещения для проведения мероприятий Программы;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на оплату транспорта, осуществляющего подвоз несовершеннолетних, молодежи и других </w:t>
      </w:r>
      <w:r>
        <w:lastRenderedPageBreak/>
        <w:t>участников к месту проведения мероприятий Программы;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услуги связи, необходимые для организации и реализации мероприятий Программы;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оплату питания при проведении мероприятий Программы;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обеспечение мер безопасности при проведении мероприятий Программы;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оплату труда работников, осуществляющих организацию и проведение мероприятий Программы (в том числе оплата труда привлеченных специалистов);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командировочные расходы, возникающие у Получателя при реализации мероприятий Программы;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укрепление материально-технической базы, требующейся для проведения мероприятий Программы (приобретение игр, оборудования, расходных материалов, сувенирной продукции, методической литературы);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изготовление полиграфической продукции для наглядной демонстрации во время проведения мероприятий Программы (брошюры, плакаты).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5.4. Не допускается осуществление за счет Грантов следующих расходов: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непосредственно не </w:t>
      </w:r>
      <w:proofErr w:type="gramStart"/>
      <w:r>
        <w:t>связанных</w:t>
      </w:r>
      <w:proofErr w:type="gramEnd"/>
      <w:r>
        <w:t xml:space="preserve"> с реализацией Программы;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приобретение материальных ценностей (имущества, товаров, предметов) с целью их дальнейшей реализации;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погашение задолженности организации;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выплату заработной платы, уплаты налогов, штрафов, сборов, пеней;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на приобретение иностранной валюты, за исключением операций, осуществляемых в соответствии с валютным законодательством Российской Федерации.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5.5. В Соглашении должны быть предусмотрены: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а) цели, условия, размер, сроки предоставления Гранта, расчет затрат, порядок возврата Гранта в случае нарушения условий, установленных Соглашением;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б) порядок, сроки и формы представления отчетности, подтверждающей выполнение условий Соглашения;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в) порядок перечисления Гранта;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г) ответственность за несоблюдение условий соглашения о предоставлении Гранта;</w:t>
      </w:r>
    </w:p>
    <w:p w:rsidR="00EB3305" w:rsidRDefault="00EB3305">
      <w:pPr>
        <w:pStyle w:val="ConsPlusNormal"/>
        <w:spacing w:before="220"/>
        <w:ind w:firstLine="540"/>
        <w:jc w:val="both"/>
      </w:pPr>
      <w:proofErr w:type="gramStart"/>
      <w:r>
        <w:t>д) запрет приобретения за счет полученных денежных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средств, иных операций, определенных нормативными правовыми актами, муниципальными правовыми актами, регулирующими предоставление субсидии;</w:t>
      </w:r>
      <w:proofErr w:type="gramEnd"/>
    </w:p>
    <w:p w:rsidR="00EB3305" w:rsidRDefault="00EB3305">
      <w:pPr>
        <w:pStyle w:val="ConsPlusNormal"/>
        <w:spacing w:before="220"/>
        <w:ind w:firstLine="540"/>
        <w:jc w:val="both"/>
      </w:pPr>
      <w:r>
        <w:t>е) положения об обеспечении Получателями при проведении мероприятий с участием граждан мер безопасности в соответствии с законодательством Российской Федерации;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ж) целевые показатели предоставления Гранта и (или) порядок их расчета и право </w:t>
      </w:r>
      <w:r>
        <w:lastRenderedPageBreak/>
        <w:t>Департамент устанавливать в Соглашении конкретный результат (целевые показатели) и их значение на основании указанного порядка;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з) согласие Получателя на размещение на официальном сайте Департамента отчетов о выполнении условий, целей, порядка предоставления и использования Грантов;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и) согласие Получателя на осуществление в отношении него Департаментом и органом государственного финансового контроля автономного округа проверок соблюдения условий, целей и порядка предоставления Гранта.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58" w:name="P4251"/>
      <w:bookmarkEnd w:id="58"/>
      <w:r>
        <w:t>5.6. Получатель в течение 10 рабочих дней со дня получения Соглашения подписывает его и представляет в Департамент.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5.7. Основаниями для отказа в заключени</w:t>
      </w:r>
      <w:proofErr w:type="gramStart"/>
      <w:r>
        <w:t>и</w:t>
      </w:r>
      <w:proofErr w:type="gramEnd"/>
      <w:r>
        <w:t xml:space="preserve"> Соглашения являются: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подписание Соглашения неуполномоченным лицом;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представление Получателем подписанного Соглашения, не соответствующего установленной форме;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непредставление подписанного получателем Соглашения в срок, указанный в </w:t>
      </w:r>
      <w:hyperlink w:anchor="P4251" w:history="1">
        <w:r>
          <w:rPr>
            <w:color w:val="0000FF"/>
          </w:rPr>
          <w:t>пункте 5.6</w:t>
        </w:r>
      </w:hyperlink>
      <w:r>
        <w:t xml:space="preserve"> Порядка.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5.9. Перечисление Гранта осуществляет Департамент в течение 15 рабочих дней </w:t>
      </w:r>
      <w:proofErr w:type="gramStart"/>
      <w:r>
        <w:t>с даты получения</w:t>
      </w:r>
      <w:proofErr w:type="gramEnd"/>
      <w:r>
        <w:t xml:space="preserve"> подписанного Получателем Соглашения на следующие счета: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а) бюджетным учреждениям - лицевые счета, открытые в территориальном органе Федерального казначейства или финансовом органе автономного округа (муниципального образования);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б) автономным учреждениям - лицевые счета, открытые в финансовом органе автономного округа (муниципального образования), или расчетные счета, открытые в российских кредитных организациях.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  <w:outlineLvl w:val="1"/>
      </w:pPr>
      <w:r>
        <w:t>6. Требования к отчетности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>6.1. Порядок, сроки и формы представления Получателем отчетности, содержащей информацию о достижении целевых показателей и направлениях расходования сре</w:t>
      </w:r>
      <w:proofErr w:type="gramStart"/>
      <w:r>
        <w:t>дств Гр</w:t>
      </w:r>
      <w:proofErr w:type="gramEnd"/>
      <w:r>
        <w:t>анта, устанавливает Департамент в Соглашении, что предусматривает: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представление ежеквартальных отчетов о ходе реализации Программы, осуществлении расходов, источником обеспечения которых является Грант;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представление заключительного отчета по итогам реализации Программы.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Title"/>
        <w:jc w:val="center"/>
        <w:outlineLvl w:val="1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использованием Гранта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ind w:firstLine="540"/>
        <w:jc w:val="both"/>
      </w:pPr>
      <w:r>
        <w:t>7.1. Порядок и формы контроля устанавливаются Соглашением и предусматривают проведение выездных проверок хода и итогов реализации Программы.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7.2. Департамент совместно с органом государственного финансового контроля автономного округа осуществляют обязательную проверку соблюдения Получателем целей, условий и порядка предоставления Гранта.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За несоблюдение целей, условий и порядка предоставления Грантов, в том числе невыполнение условий Соглашения, устанавливаются штрафные санкции в соответствии с </w:t>
      </w:r>
      <w:r>
        <w:lastRenderedPageBreak/>
        <w:t>действующим законодательством Российской Федерации.</w:t>
      </w:r>
    </w:p>
    <w:p w:rsidR="00EB3305" w:rsidRDefault="00EB3305">
      <w:pPr>
        <w:pStyle w:val="ConsPlusNormal"/>
        <w:spacing w:before="220"/>
        <w:ind w:firstLine="540"/>
        <w:jc w:val="both"/>
      </w:pPr>
      <w:bookmarkStart w:id="59" w:name="P4271"/>
      <w:bookmarkEnd w:id="59"/>
      <w:r>
        <w:t>7.3. Департамент принимает решение об истребовании предоставленного Гранта в бюджет автономного округа в случаях: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неиспользования средств, предоставленных по Соглашению;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непредставления отчетности в соответствии с Соглашением либо представления с нарушением установленных Соглашением требований и сроков;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уклонения от обязательной проверки соблюдения Получателем целей, условий и порядка предоставления Гранта;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несоблюдения Получателем целей, условий и порядка предоставления Гранта, выявленного по фактам проверок, проведенных главным распорядителем и (или) органом государственного финансового контроля автономного округа.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7.4. В течение 10 рабочих дней </w:t>
      </w:r>
      <w:proofErr w:type="gramStart"/>
      <w:r>
        <w:t>с даты возникновения</w:t>
      </w:r>
      <w:proofErr w:type="gramEnd"/>
      <w:r>
        <w:t xml:space="preserve"> одного или нескольких оснований для возврата Гранта, предусмотренных </w:t>
      </w:r>
      <w:hyperlink w:anchor="P4271" w:history="1">
        <w:r>
          <w:rPr>
            <w:color w:val="0000FF"/>
          </w:rPr>
          <w:t>пунктом 7.3</w:t>
        </w:r>
      </w:hyperlink>
      <w:r>
        <w:t xml:space="preserve"> Порядка, Департамент направляет Получателю письменное требование о его возврате.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 xml:space="preserve">7.5. В течение 30 календарных дней </w:t>
      </w:r>
      <w:proofErr w:type="gramStart"/>
      <w:r>
        <w:t>с даты получения</w:t>
      </w:r>
      <w:proofErr w:type="gramEnd"/>
      <w:r>
        <w:t xml:space="preserve"> требования Получатель обязан перечислить указанную в требовании сумму на счет Департамента.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7.6. В случае выявления факта недостижения целевых показателей использования Гранта, установленных Соглашением, Департамент в течение 5 рабочих дней направляет Получателю письменное требование о необходимости уплаты штрафов с указанием сроков оплаты.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Расчет суммы штрафа осуществляется по форме, установленной Соглашением.</w:t>
      </w:r>
    </w:p>
    <w:p w:rsidR="00EB3305" w:rsidRDefault="00EB3305">
      <w:pPr>
        <w:pStyle w:val="ConsPlusNormal"/>
        <w:spacing w:before="220"/>
        <w:ind w:firstLine="540"/>
        <w:jc w:val="both"/>
      </w:pPr>
      <w:r>
        <w:t>7.7. В случае невыполнения требования о возврате Гранта в бюджет автономного округа взыскание осуществляется в судебном порядке в соответствии с законодательством Российской Федерации.</w:t>
      </w: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jc w:val="both"/>
      </w:pPr>
    </w:p>
    <w:p w:rsidR="00EB3305" w:rsidRDefault="00EB3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E8E" w:rsidRDefault="005A7E8E">
      <w:bookmarkStart w:id="60" w:name="_GoBack"/>
      <w:bookmarkEnd w:id="60"/>
    </w:p>
    <w:sectPr w:rsidR="005A7E8E" w:rsidSect="00C2427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05"/>
    <w:rsid w:val="005A7E8E"/>
    <w:rsid w:val="00E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3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33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3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33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042EFC73962BA7A76E970CB79ACE22A60FE9C26A4BEBACF30703988D14429D805EFC08FB3EF956431369A908D28E6E02AAC7EC54B96BE50A38D35EK3pAJ" TargetMode="External"/><Relationship Id="rId18" Type="http://schemas.openxmlformats.org/officeDocument/2006/relationships/hyperlink" Target="consultantplus://offline/ref=B2042EFC73962BA7A76E970CB79ACE22A60FE9C26A4AE4A5F20503988D14429D805EFC08FB3EF956431369A80FD28E6E02AAC7EC54B96BE50A38D35EK3pAJ" TargetMode="External"/><Relationship Id="rId26" Type="http://schemas.openxmlformats.org/officeDocument/2006/relationships/hyperlink" Target="consultantplus://offline/ref=B2042EFC73962BA7A76E970CB79ACE22A60FE9C26A4AE4A5F20503988D14429D805EFC08FB3EF956431368A90CD28E6E02AAC7EC54B96BE50A38D35EK3pAJ" TargetMode="External"/><Relationship Id="rId39" Type="http://schemas.openxmlformats.org/officeDocument/2006/relationships/hyperlink" Target="consultantplus://offline/ref=0B0E4FD2B466F461BCD9F4D160205CF4EDD64EAB138054737F345C15FCF40BE671D983A2214D58D01E64019F314C6170041CF3F08B3DA7C444BD8D20L8pEJ" TargetMode="External"/><Relationship Id="rId21" Type="http://schemas.openxmlformats.org/officeDocument/2006/relationships/hyperlink" Target="consultantplus://offline/ref=B2042EFC73962BA7A76E8901A1F6992DA306B5CF694BE7FBAD5105CFD24444C8C01EFA5DB87AF45443183DF84A8CD73D46E1CBEF4AA56AE5K1pDJ" TargetMode="External"/><Relationship Id="rId34" Type="http://schemas.openxmlformats.org/officeDocument/2006/relationships/hyperlink" Target="consultantplus://offline/ref=B2042EFC73962BA7A76E970CB79ACE22A60FE9C26A4BE5A4F00203988D14429D805EFC08FB3EF95643136AAD0CD28E6E02AAC7EC54B96BE50A38D35EK3pAJ" TargetMode="External"/><Relationship Id="rId42" Type="http://schemas.openxmlformats.org/officeDocument/2006/relationships/hyperlink" Target="consultantplus://offline/ref=0B0E4FD2B466F461BCD9F4D160205CF4EDD64EAB13815B7A7E365C15FCF40BE671D983A2214D58D01E66019F374C6170041CF3F08B3DA7C444BD8D20L8pEJ" TargetMode="External"/><Relationship Id="rId47" Type="http://schemas.openxmlformats.org/officeDocument/2006/relationships/hyperlink" Target="consultantplus://offline/ref=0B0E4FD2B466F461BCD9F4D160205CF4EDD64EAB138054737F345C15FCF40BE671D983A2214D58D01E640197344C6170041CF3F08B3DA7C444BD8D20L8pEJ" TargetMode="External"/><Relationship Id="rId50" Type="http://schemas.openxmlformats.org/officeDocument/2006/relationships/hyperlink" Target="consultantplus://offline/ref=0B0E4FD2B466F461BCD9F4D160205CF4EDD64EAB13815B7A7E365C15FCF40BE671D983A2214D58D01E6602993E4C6170041CF3F08B3DA7C444BD8D20L8pEJ" TargetMode="External"/><Relationship Id="rId55" Type="http://schemas.openxmlformats.org/officeDocument/2006/relationships/hyperlink" Target="consultantplus://offline/ref=0B0E4FD2B466F461BCD9EADC764C0BFBE8DC12AF1688572D20605A42A3A40DB3319985F7620955D0166F50CF731238234057FFF39521A6C4L5p3J" TargetMode="External"/><Relationship Id="rId63" Type="http://schemas.openxmlformats.org/officeDocument/2006/relationships/hyperlink" Target="consultantplus://offline/ref=0B0E4FD2B466F461BCD9F4D160205CF4EDD64EAB138054737F345C15FCF40BE671D983A2214D58D01E640D9C304C6170041CF3F08B3DA7C444BD8D20L8pEJ" TargetMode="External"/><Relationship Id="rId68" Type="http://schemas.openxmlformats.org/officeDocument/2006/relationships/hyperlink" Target="consultantplus://offline/ref=0B0E4FD2B466F461BCD9F4D160205CF4EDD64EAB138054737F345C15FCF40BE671D983A2214D58D01E6403983E4C6170041CF3F08B3DA7C444BD8D20L8pEJ" TargetMode="External"/><Relationship Id="rId7" Type="http://schemas.openxmlformats.org/officeDocument/2006/relationships/hyperlink" Target="consultantplus://offline/ref=B2042EFC73962BA7A76E970CB79ACE22A60FE9C26A4BE5A4F00203988D14429D805EFC08FB3EF956431369A90BD28E6E02AAC7EC54B96BE50A38D35EK3pAJ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042EFC73962BA7A76E970CB79ACE22A60FE9C26A4AE4A5F20503988D14429D805EFC08FB3EF956431369A80ED28E6E02AAC7EC54B96BE50A38D35EK3pAJ" TargetMode="External"/><Relationship Id="rId29" Type="http://schemas.openxmlformats.org/officeDocument/2006/relationships/hyperlink" Target="consultantplus://offline/ref=B2042EFC73962BA7A76E970CB79ACE22A60FE9C26A4AE4A5F20503988D14429D805EFC08FB3EF95643136BAB0ED28E6E02AAC7EC54B96BE50A38D35EK3p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042EFC73962BA7A76E970CB79ACE22A60FE9C26A4BEBACF30703988D14429D805EFC08FB3EF956431369A90BD28E6E02AAC7EC54B96BE50A38D35EK3pAJ" TargetMode="External"/><Relationship Id="rId11" Type="http://schemas.openxmlformats.org/officeDocument/2006/relationships/hyperlink" Target="consultantplus://offline/ref=B2042EFC73962BA7A76E970CB79ACE22A60FE9C26A4AE4A5F20503988D14429D805EFC08FB3EF956431369A909D28E6E02AAC7EC54B96BE50A38D35EK3pAJ" TargetMode="External"/><Relationship Id="rId24" Type="http://schemas.openxmlformats.org/officeDocument/2006/relationships/hyperlink" Target="consultantplus://offline/ref=B2042EFC73962BA7A76E970CB79ACE22A60FE9C26A4AE4A5F20503988D14429D805EFC08FB3EF956431369A80DD28E6E02AAC7EC54B96BE50A38D35EK3pAJ" TargetMode="External"/><Relationship Id="rId32" Type="http://schemas.openxmlformats.org/officeDocument/2006/relationships/hyperlink" Target="consultantplus://offline/ref=B2042EFC73962BA7A76E970CB79ACE22A60FE9C26A4BE5A4F00203988D14429D805EFC08FB3EF95643136BAF06D28E6E02AAC7EC54B96BE50A38D35EK3pAJ" TargetMode="External"/><Relationship Id="rId37" Type="http://schemas.openxmlformats.org/officeDocument/2006/relationships/hyperlink" Target="consultantplus://offline/ref=0B0E4FD2B466F461BCD9F4D160205CF4EDD64EAB138054737F345C15FCF40BE671D983A2214D58D01E640098344C6170041CF3F08B3DA7C444BD8D20L8pEJ" TargetMode="External"/><Relationship Id="rId40" Type="http://schemas.openxmlformats.org/officeDocument/2006/relationships/hyperlink" Target="consultantplus://offline/ref=0B0E4FD2B466F461BCD9F4D160205CF4EDD64EAB138155727D335C15FCF40BE671D983A2214D58D01E64009A3F4C6170041CF3F08B3DA7C444BD8D20L8pEJ" TargetMode="External"/><Relationship Id="rId45" Type="http://schemas.openxmlformats.org/officeDocument/2006/relationships/hyperlink" Target="consultantplus://offline/ref=0B0E4FD2B466F461BCD9F4D160205CF4EDD64EAB138155727D335C15FCF40BE671D983A2214D58D01E640299364C6170041CF3F08B3DA7C444BD8D20L8pEJ" TargetMode="External"/><Relationship Id="rId53" Type="http://schemas.openxmlformats.org/officeDocument/2006/relationships/hyperlink" Target="consultantplus://offline/ref=0B0E4FD2B466F461BCD9F4D160205CF4EDD64EAB138054737F345C15FCF40BE671D983A2214D58D01E640197314C6170041CF3F08B3DA7C444BD8D20L8pEJ" TargetMode="External"/><Relationship Id="rId58" Type="http://schemas.openxmlformats.org/officeDocument/2006/relationships/hyperlink" Target="consultantplus://offline/ref=0B0E4FD2B466F461BCD9F4D160205CF4EDD64EAB13815B7A7E365C15FCF40BE671D983A2214D58D01E660C9B364C6170041CF3F08B3DA7C444BD8D20L8pEJ" TargetMode="External"/><Relationship Id="rId66" Type="http://schemas.openxmlformats.org/officeDocument/2006/relationships/hyperlink" Target="consultantplus://offline/ref=0B0E4FD2B466F461BCD9F4D160205CF4EDD64EAB138054737F345C15FCF40BE671D983A2214D58D01E640D9C304C6170041CF3F08B3DA7C444BD8D20L8p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042EFC73962BA7A76E970CB79ACE22A60FE9C26A4BE5A4F00203988D14429D805EFC08FB3EF956431369A908D28E6E02AAC7EC54B96BE50A38D35EK3pAJ" TargetMode="External"/><Relationship Id="rId23" Type="http://schemas.openxmlformats.org/officeDocument/2006/relationships/hyperlink" Target="consultantplus://offline/ref=B2042EFC73962BA7A76E970CB79ACE22A60FE9C26A4BE5A4F00203988D14429D805EFC08FB3EF956431369A907D28E6E02AAC7EC54B96BE50A38D35EK3pAJ" TargetMode="External"/><Relationship Id="rId28" Type="http://schemas.openxmlformats.org/officeDocument/2006/relationships/hyperlink" Target="consultantplus://offline/ref=B2042EFC73962BA7A76E970CB79ACE22A60FE9C26A4AE4A5F20503988D14429D805EFC08FB3EF956431368AF06D28E6E02AAC7EC54B96BE50A38D35EK3pAJ" TargetMode="External"/><Relationship Id="rId36" Type="http://schemas.openxmlformats.org/officeDocument/2006/relationships/hyperlink" Target="consultantplus://offline/ref=B2042EFC73962BA7A76E970CB79ACE22A60FE9C26A4AE4A5F20503988D14429D805EFC08FB3EF95643136DA80ED28E6E02AAC7EC54B96BE50A38D35EK3pAJ" TargetMode="External"/><Relationship Id="rId49" Type="http://schemas.openxmlformats.org/officeDocument/2006/relationships/hyperlink" Target="consultantplus://offline/ref=0B0E4FD2B466F461BCD9F4D160205CF4EDD64EAB138059797B3D5C15FCF40BE671D983A2334D00DC1C641A9F3659372141L4p0J" TargetMode="External"/><Relationship Id="rId57" Type="http://schemas.openxmlformats.org/officeDocument/2006/relationships/hyperlink" Target="consultantplus://offline/ref=0B0E4FD2B466F461BCD9F4D160205CF4EDD64EAB13815B7A7E365C15FCF40BE671D983A2214D58D01E6603973F4C6170041CF3F08B3DA7C444BD8D20L8pEJ" TargetMode="External"/><Relationship Id="rId61" Type="http://schemas.openxmlformats.org/officeDocument/2006/relationships/hyperlink" Target="consultantplus://offline/ref=0B0E4FD2B466F461BCD9F4D160205CF4EDD64EAB138054737F345C15FCF40BE671D983A2214D58D01E640398334C6170041CF3F08B3DA7C444BD8D20L8pEJ" TargetMode="External"/><Relationship Id="rId10" Type="http://schemas.openxmlformats.org/officeDocument/2006/relationships/hyperlink" Target="consultantplus://offline/ref=B2042EFC73962BA7A76E970CB79ACE22A60FE9C26A4AEAA5F30503988D14429D805EFC08FB3EF95643136DA006D28E6E02AAC7EC54B96BE50A38D35EK3pAJ" TargetMode="External"/><Relationship Id="rId19" Type="http://schemas.openxmlformats.org/officeDocument/2006/relationships/image" Target="media/image1.wmf"/><Relationship Id="rId31" Type="http://schemas.openxmlformats.org/officeDocument/2006/relationships/hyperlink" Target="consultantplus://offline/ref=B2042EFC73962BA7A76E970CB79ACE22A60FE9C26A4AE4A5F20503988D14429D805EFC08FB3EF95643136AA90BD28E6E02AAC7EC54B96BE50A38D35EK3pAJ" TargetMode="External"/><Relationship Id="rId44" Type="http://schemas.openxmlformats.org/officeDocument/2006/relationships/hyperlink" Target="consultantplus://offline/ref=0B0E4FD2B466F461BCD9F4D160205CF4EDD64EAB138054737F345C15FCF40BE671D983A2214D58D01E640197364C6170041CF3F08B3DA7C444BD8D20L8pEJ" TargetMode="External"/><Relationship Id="rId52" Type="http://schemas.openxmlformats.org/officeDocument/2006/relationships/hyperlink" Target="consultantplus://offline/ref=0B0E4FD2B466F461BCD9F4D160205CF4EDD64EAB138054737F345C15FCF40BE671D983A2214D58D01E640197324C6170041CF3F08B3DA7C444BD8D20L8pEJ" TargetMode="External"/><Relationship Id="rId60" Type="http://schemas.openxmlformats.org/officeDocument/2006/relationships/hyperlink" Target="consultantplus://offline/ref=0B0E4FD2B466F461BCD9F4D160205CF4EDD64EAB13815B7A7E365C15FCF40BE671D983A2214D58D01E660D9E3E4C6170041CF3F08B3DA7C444BD8D20L8pEJ" TargetMode="External"/><Relationship Id="rId65" Type="http://schemas.openxmlformats.org/officeDocument/2006/relationships/hyperlink" Target="consultantplus://offline/ref=0B0E4FD2B466F461BCD9F4D160205CF4EDD64EAB138054737F345C15FCF40BE671D983A2214D58D01E640398304C6170041CF3F08B3DA7C444BD8D20L8p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042EFC73962BA7A76E8901A1F6992DA307B1C86343E7FBAD5105CFD24444C8C01EFA5DB879F65F42183DF84A8CD73D46E1CBEF4AA56AE5K1pDJ" TargetMode="External"/><Relationship Id="rId14" Type="http://schemas.openxmlformats.org/officeDocument/2006/relationships/hyperlink" Target="consultantplus://offline/ref=B2042EFC73962BA7A76E970CB79ACE22A60FE9C26A4BEBACF30703988D14429D805EFC08FB3EF956431369A808D28E6E02AAC7EC54B96BE50A38D35EK3pAJ" TargetMode="External"/><Relationship Id="rId22" Type="http://schemas.openxmlformats.org/officeDocument/2006/relationships/hyperlink" Target="consultantplus://offline/ref=B2042EFC73962BA7A76E8901A1F6992DA306B5CF694BE7FBAD5105CFD24444C8C01EFA5DB87AF45443183DF84A8CD73D46E1CBEF4AA56AE5K1pDJ" TargetMode="External"/><Relationship Id="rId27" Type="http://schemas.openxmlformats.org/officeDocument/2006/relationships/hyperlink" Target="consultantplus://offline/ref=B2042EFC73962BA7A76E970CB79ACE22A60FE9C26A4BE5A4F00203988D14429D805EFC08FB3EF956431368A90ED28E6E02AAC7EC54B96BE50A38D35EK3pAJ" TargetMode="External"/><Relationship Id="rId30" Type="http://schemas.openxmlformats.org/officeDocument/2006/relationships/hyperlink" Target="consultantplus://offline/ref=B2042EFC73962BA7A76E970CB79ACE22A60FE9C26A4AE4A5F20503988D14429D805EFC08FB3EF95643136BAC0AD28E6E02AAC7EC54B96BE50A38D35EK3pAJ" TargetMode="External"/><Relationship Id="rId35" Type="http://schemas.openxmlformats.org/officeDocument/2006/relationships/hyperlink" Target="consultantplus://offline/ref=B2042EFC73962BA7A76E970CB79ACE22A60FE9C26A4BE5A4F00203988D14429D805EFC08FB3EF95643136AAD0DD28E6E02AAC7EC54B96BE50A38D35EK3pAJ" TargetMode="External"/><Relationship Id="rId43" Type="http://schemas.openxmlformats.org/officeDocument/2006/relationships/hyperlink" Target="consultantplus://offline/ref=0B0E4FD2B466F461BCD9F4D160205CF4EDD64EAB138155727D335C15FCF40BE671D983A2214D58D01E640299364C6170041CF3F08B3DA7C444BD8D20L8pEJ" TargetMode="External"/><Relationship Id="rId48" Type="http://schemas.openxmlformats.org/officeDocument/2006/relationships/hyperlink" Target="consultantplus://offline/ref=0B0E4FD2B466F461BCD9F4D160205CF4EDD64EAB13815B7A7E365C15FCF40BE671D983A2214D58D01E66029F3F4C6170041CF3F08B3DA7C444BD8D20L8pEJ" TargetMode="External"/><Relationship Id="rId56" Type="http://schemas.openxmlformats.org/officeDocument/2006/relationships/hyperlink" Target="consultantplus://offline/ref=0B0E4FD2B466F461BCD9EADC764C0BFBEAD414A71489572D20605A42A3A40DB32399DDFB60094BD01F7A069E36L4pEJ" TargetMode="External"/><Relationship Id="rId64" Type="http://schemas.openxmlformats.org/officeDocument/2006/relationships/hyperlink" Target="consultantplus://offline/ref=0B0E4FD2B466F461BCD9F4D160205CF4EDD64EAB138054737F345C15FCF40BE671D983A2214D58D01E640398324C6170041CF3F08B3DA7C444BD8D20L8pEJ" TargetMode="External"/><Relationship Id="rId69" Type="http://schemas.openxmlformats.org/officeDocument/2006/relationships/hyperlink" Target="consultantplus://offline/ref=0B0E4FD2B466F461BCD9EADC764C0BFBE8DC12AF1688572D20605A42A3A40DB3319985F7620955D0166F50CF731238234057FFF39521A6C4L5p3J" TargetMode="External"/><Relationship Id="rId8" Type="http://schemas.openxmlformats.org/officeDocument/2006/relationships/hyperlink" Target="consultantplus://offline/ref=B2042EFC73962BA7A76E970CB79ACE22A60FE9C26A4AE4A5F20503988D14429D805EFC08FB3EF956431369A90BD28E6E02AAC7EC54B96BE50A38D35EK3pAJ" TargetMode="External"/><Relationship Id="rId51" Type="http://schemas.openxmlformats.org/officeDocument/2006/relationships/hyperlink" Target="consultantplus://offline/ref=0B0E4FD2B466F461BCD9F4D160205CF4EDD64EAB138054737F345C15FCF40BE671D983A2214D58D01E640197334C6170041CF3F08B3DA7C444BD8D20L8pEJ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042EFC73962BA7A76E970CB79ACE22A60FE9C26A4AE4A5F20503988D14429D805EFC08FB3EF956431369A906D28E6E02AAC7EC54B96BE50A38D35EK3pAJ" TargetMode="External"/><Relationship Id="rId17" Type="http://schemas.openxmlformats.org/officeDocument/2006/relationships/hyperlink" Target="consultantplus://offline/ref=B2042EFC73962BA7A76E970CB79ACE22A60FE9C26A4BE5A4F00203988D14429D805EFC08FB3EF956431369A909D28E6E02AAC7EC54B96BE50A38D35EK3pAJ" TargetMode="External"/><Relationship Id="rId25" Type="http://schemas.openxmlformats.org/officeDocument/2006/relationships/hyperlink" Target="consultantplus://offline/ref=B2042EFC73962BA7A76E970CB79ACE22A60FE9C26A4AE4A5F20503988D14429D805EFC08FB3EF956431369AC0ED28E6E02AAC7EC54B96BE50A38D35EK3pAJ" TargetMode="External"/><Relationship Id="rId33" Type="http://schemas.openxmlformats.org/officeDocument/2006/relationships/hyperlink" Target="consultantplus://offline/ref=B2042EFC73962BA7A76E970CB79ACE22A60FE9C26A4AE4A5F20503988D14429D805EFC08FB3EF95643136AAC06D28E6E02AAC7EC54B96BE50A38D35EK3pAJ" TargetMode="External"/><Relationship Id="rId38" Type="http://schemas.openxmlformats.org/officeDocument/2006/relationships/hyperlink" Target="consultantplus://offline/ref=0B0E4FD2B466F461BCD9F4D160205CF4EDD64EAB138155727D335C15FCF40BE671D983A2214D58D01E640797314C6170041CF3F08B3DA7C444BD8D20L8pEJ" TargetMode="External"/><Relationship Id="rId46" Type="http://schemas.openxmlformats.org/officeDocument/2006/relationships/hyperlink" Target="consultantplus://offline/ref=0B0E4FD2B466F461BCD9F4D160205CF4EDD64EAB138054737F345C15FCF40BE671D983A2214D58D01E640197354C6170041CF3F08B3DA7C444BD8D20L8pEJ" TargetMode="External"/><Relationship Id="rId59" Type="http://schemas.openxmlformats.org/officeDocument/2006/relationships/hyperlink" Target="consultantplus://offline/ref=0B0E4FD2B466F461BCD9F4D160205CF4EDD64EAB138059797B3D5C15FCF40BE671D983A2334D00DC1C641A9F3659372141L4p0J" TargetMode="External"/><Relationship Id="rId67" Type="http://schemas.openxmlformats.org/officeDocument/2006/relationships/hyperlink" Target="consultantplus://offline/ref=0B0E4FD2B466F461BCD9F4D160205CF4EDD64EAB138054737F345C15FCF40BE671D983A2214D58D01E640398304C6170041CF3F08B3DA7C444BD8D20L8pEJ" TargetMode="External"/><Relationship Id="rId20" Type="http://schemas.openxmlformats.org/officeDocument/2006/relationships/hyperlink" Target="consultantplus://offline/ref=B2042EFC73962BA7A76E8901A1F6992DA306B5CF694BE7FBAD5105CFD24444C8C01EFA5DB87AF45443183DF84A8CD73D46E1CBEF4AA56AE5K1pDJ" TargetMode="External"/><Relationship Id="rId41" Type="http://schemas.openxmlformats.org/officeDocument/2006/relationships/hyperlink" Target="consultantplus://offline/ref=0B0E4FD2B466F461BCD9F4D160205CF4EDD64EAB138054737F345C15FCF40BE671D983A2214D58D01E6401983F4C6170041CF3F08B3DA7C444BD8D20L8pEJ" TargetMode="External"/><Relationship Id="rId54" Type="http://schemas.openxmlformats.org/officeDocument/2006/relationships/hyperlink" Target="consultantplus://offline/ref=0B0E4FD2B466F461BCD9F4D160205CF4EDD64EAB138054737F345C15FCF40BE671D983A2214D58D01E6401973F4C6170041CF3F08B3DA7C444BD8D20L8pEJ" TargetMode="External"/><Relationship Id="rId62" Type="http://schemas.openxmlformats.org/officeDocument/2006/relationships/hyperlink" Target="consultantplus://offline/ref=0B0E4FD2B466F461BCD9F4D160205CF4EDD64EAB138054737F345C15FCF40BE671D983A2214D58D01E640398324C6170041CF3F08B3DA7C444BD8D20L8pEJ" TargetMode="External"/><Relationship Id="rId70" Type="http://schemas.openxmlformats.org/officeDocument/2006/relationships/hyperlink" Target="consultantplus://offline/ref=0B0E4FD2B466F461BCD9EADC764C0BFBEAD414A71489572D20605A42A3A40DB32399DDFB60094BD01F7A069E36L4p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91</Pages>
  <Words>25682</Words>
  <Characters>146392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Светлана Евгеньевна</dc:creator>
  <cp:lastModifiedBy>Никитина Светлана Евгеньевна</cp:lastModifiedBy>
  <cp:revision>1</cp:revision>
  <dcterms:created xsi:type="dcterms:W3CDTF">2019-11-20T09:41:00Z</dcterms:created>
  <dcterms:modified xsi:type="dcterms:W3CDTF">2019-11-20T09:44:00Z</dcterms:modified>
</cp:coreProperties>
</file>