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26D39BE5" w14:textId="3367DFD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E87558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E87558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>
        <w:rPr>
          <w:color w:val="000000"/>
          <w:sz w:val="26"/>
          <w:szCs w:val="26"/>
          <w:u w:val="single"/>
        </w:rPr>
        <w:t xml:space="preserve"> </w:t>
      </w:r>
      <w:r w:rsidR="00E87558" w:rsidRPr="00E87558">
        <w:rPr>
          <w:rFonts w:eastAsia="TimesNewRomanPSMT"/>
          <w:sz w:val="26"/>
          <w:szCs w:val="26"/>
          <w:u w:val="single"/>
          <w:lang w:eastAsia="en-US"/>
        </w:rPr>
        <w:t>86:08:0020801:</w:t>
      </w:r>
      <w:r w:rsidR="00883A8A">
        <w:rPr>
          <w:rFonts w:eastAsia="TimesNewRomanPSMT"/>
          <w:sz w:val="26"/>
          <w:szCs w:val="26"/>
          <w:u w:val="single"/>
          <w:lang w:eastAsia="en-US"/>
        </w:rPr>
        <w:t>14882</w:t>
      </w:r>
      <w:r w:rsidRPr="00E87558">
        <w:rPr>
          <w:sz w:val="26"/>
          <w:szCs w:val="26"/>
          <w:u w:val="single"/>
        </w:rPr>
        <w:t>,</w:t>
      </w:r>
      <w:r w:rsidR="00883A8A">
        <w:rPr>
          <w:sz w:val="26"/>
          <w:szCs w:val="26"/>
          <w:u w:val="single"/>
        </w:rPr>
        <w:t xml:space="preserve"> </w:t>
      </w:r>
      <w:r w:rsidR="00E87558" w:rsidRPr="00E87558">
        <w:rPr>
          <w:rFonts w:eastAsia="TimesNewRomanPSMT"/>
          <w:sz w:val="26"/>
          <w:szCs w:val="26"/>
          <w:u w:val="single"/>
          <w:lang w:eastAsia="en-US"/>
        </w:rPr>
        <w:t>86:08:0020801:1</w:t>
      </w:r>
      <w:r w:rsidR="00883A8A">
        <w:rPr>
          <w:rFonts w:eastAsia="TimesNewRomanPSMT"/>
          <w:sz w:val="26"/>
          <w:szCs w:val="26"/>
          <w:u w:val="single"/>
          <w:lang w:eastAsia="en-US"/>
        </w:rPr>
        <w:t>6570</w:t>
      </w:r>
      <w:r w:rsidR="00E87558" w:rsidRPr="00E87558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E87558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</w:t>
      </w:r>
      <w:r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 строительства в территориальной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753864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6D235168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883A8A">
        <w:rPr>
          <w:i/>
          <w:spacing w:val="2"/>
          <w:sz w:val="26"/>
          <w:szCs w:val="26"/>
          <w:u w:val="single"/>
        </w:rPr>
        <w:t>25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E87558">
        <w:rPr>
          <w:i/>
          <w:spacing w:val="2"/>
          <w:sz w:val="26"/>
          <w:szCs w:val="26"/>
          <w:u w:val="single"/>
        </w:rPr>
        <w:t>3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883A8A">
        <w:rPr>
          <w:i/>
          <w:spacing w:val="2"/>
          <w:sz w:val="26"/>
          <w:szCs w:val="26"/>
          <w:u w:val="single"/>
        </w:rPr>
        <w:t>15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E87558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2C73FCE6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883A8A">
        <w:rPr>
          <w:i/>
          <w:spacing w:val="2"/>
          <w:sz w:val="26"/>
          <w:szCs w:val="26"/>
          <w:u w:val="single"/>
        </w:rPr>
        <w:t>13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E87558">
        <w:rPr>
          <w:i/>
          <w:spacing w:val="2"/>
          <w:sz w:val="26"/>
          <w:szCs w:val="26"/>
          <w:u w:val="single"/>
        </w:rPr>
        <w:t>4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2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  <w:bookmarkStart w:id="0" w:name="_GoBack"/>
      <w:bookmarkEnd w:id="0"/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33</cp:revision>
  <cp:lastPrinted>2019-12-09T04:12:00Z</cp:lastPrinted>
  <dcterms:created xsi:type="dcterms:W3CDTF">2020-03-20T10:23:00Z</dcterms:created>
  <dcterms:modified xsi:type="dcterms:W3CDTF">2021-03-26T07:33:00Z</dcterms:modified>
</cp:coreProperties>
</file>