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C2" w:rsidRPr="000F39E1" w:rsidRDefault="00B401C2" w:rsidP="00B401C2">
      <w:pPr>
        <w:ind w:firstLine="708"/>
        <w:jc w:val="center"/>
        <w:rPr>
          <w:b/>
          <w:sz w:val="26"/>
          <w:szCs w:val="26"/>
        </w:rPr>
      </w:pPr>
      <w:r w:rsidRPr="000F39E1">
        <w:rPr>
          <w:b/>
          <w:sz w:val="26"/>
          <w:szCs w:val="26"/>
        </w:rPr>
        <w:t>Презентация  Конкурса</w:t>
      </w:r>
    </w:p>
    <w:p w:rsidR="00B401C2" w:rsidRPr="000F39E1" w:rsidRDefault="00B401C2" w:rsidP="00B401C2">
      <w:pPr>
        <w:tabs>
          <w:tab w:val="left" w:pos="4020"/>
        </w:tabs>
        <w:ind w:firstLine="708"/>
        <w:rPr>
          <w:b/>
          <w:sz w:val="26"/>
          <w:szCs w:val="26"/>
        </w:rPr>
      </w:pPr>
      <w:r>
        <w:rPr>
          <w:b/>
          <w:sz w:val="26"/>
          <w:szCs w:val="26"/>
        </w:rPr>
        <w:tab/>
      </w:r>
    </w:p>
    <w:p w:rsidR="00B401C2" w:rsidRPr="000F39E1" w:rsidRDefault="00B401C2" w:rsidP="00B401C2">
      <w:pPr>
        <w:ind w:firstLine="708"/>
        <w:jc w:val="both"/>
        <w:rPr>
          <w:sz w:val="26"/>
          <w:szCs w:val="26"/>
        </w:rPr>
      </w:pPr>
      <w:r w:rsidRPr="000F39E1">
        <w:rPr>
          <w:sz w:val="26"/>
          <w:szCs w:val="26"/>
        </w:rPr>
        <w:t>Департаментом труда и занятости населения Ханты-Мансийского автономного округа – Югры проводится «Конкурс  проектов, направленных  на создание условий для активного участия людей пожилого возраста в экономической  жизни автономного округа» (далее - конкурс).</w:t>
      </w:r>
    </w:p>
    <w:p w:rsidR="00B401C2" w:rsidRPr="000F39E1" w:rsidRDefault="00B401C2" w:rsidP="00B401C2">
      <w:pPr>
        <w:ind w:firstLine="708"/>
        <w:jc w:val="both"/>
        <w:rPr>
          <w:sz w:val="26"/>
          <w:szCs w:val="26"/>
        </w:rPr>
      </w:pPr>
      <w:r w:rsidRPr="000F39E1">
        <w:rPr>
          <w:sz w:val="26"/>
          <w:szCs w:val="26"/>
        </w:rPr>
        <w:t>Задачей конкурса является стимулирование работодателей автономного округа к созданию условий для продолжения гражданами пожилого возраста трудовой деятельности, привлечению их в качестве наставников для молодежи, впервые приступающей к трудовой деятельности.</w:t>
      </w:r>
    </w:p>
    <w:p w:rsidR="00B401C2" w:rsidRPr="000F39E1" w:rsidRDefault="00B401C2" w:rsidP="00B401C2">
      <w:pPr>
        <w:ind w:firstLine="708"/>
        <w:jc w:val="both"/>
        <w:rPr>
          <w:sz w:val="26"/>
          <w:szCs w:val="26"/>
        </w:rPr>
      </w:pPr>
      <w:r w:rsidRPr="000F39E1">
        <w:rPr>
          <w:sz w:val="26"/>
          <w:szCs w:val="26"/>
        </w:rPr>
        <w:t xml:space="preserve">По результатам Конкурса будут присуждены  гранты в виде субсидии и (или) средства в виде иных межбюджетных трансфертов бюджетам муниципальных образований автономного округа. </w:t>
      </w:r>
    </w:p>
    <w:p w:rsidR="00B401C2" w:rsidRPr="000F39E1" w:rsidRDefault="00B401C2" w:rsidP="00B401C2">
      <w:pPr>
        <w:ind w:firstLine="708"/>
        <w:jc w:val="both"/>
        <w:rPr>
          <w:sz w:val="26"/>
          <w:szCs w:val="26"/>
        </w:rPr>
      </w:pPr>
      <w:r w:rsidRPr="000F39E1">
        <w:rPr>
          <w:sz w:val="26"/>
          <w:szCs w:val="26"/>
        </w:rPr>
        <w:t>Размер грантов и (или) средств:</w:t>
      </w:r>
    </w:p>
    <w:p w:rsidR="00B401C2" w:rsidRPr="000F39E1" w:rsidRDefault="00B401C2" w:rsidP="00B401C2">
      <w:pPr>
        <w:ind w:firstLine="708"/>
        <w:jc w:val="both"/>
        <w:rPr>
          <w:sz w:val="26"/>
          <w:szCs w:val="26"/>
        </w:rPr>
      </w:pPr>
      <w:r w:rsidRPr="000F39E1">
        <w:rPr>
          <w:sz w:val="26"/>
          <w:szCs w:val="26"/>
        </w:rPr>
        <w:t>Победитель 1 степени – 220,0 тыс. рублей;</w:t>
      </w:r>
    </w:p>
    <w:p w:rsidR="00B401C2" w:rsidRPr="000F39E1" w:rsidRDefault="00B401C2" w:rsidP="00B401C2">
      <w:pPr>
        <w:ind w:firstLine="708"/>
        <w:jc w:val="both"/>
        <w:rPr>
          <w:sz w:val="26"/>
          <w:szCs w:val="26"/>
        </w:rPr>
      </w:pPr>
      <w:r w:rsidRPr="000F39E1">
        <w:rPr>
          <w:sz w:val="26"/>
          <w:szCs w:val="26"/>
        </w:rPr>
        <w:t xml:space="preserve">Победитель </w:t>
      </w:r>
      <w:bookmarkStart w:id="0" w:name="_GoBack"/>
      <w:bookmarkEnd w:id="0"/>
      <w:r w:rsidRPr="000F39E1">
        <w:rPr>
          <w:sz w:val="26"/>
          <w:szCs w:val="26"/>
        </w:rPr>
        <w:t>2 степени – 180,0 тыс. рублей;</w:t>
      </w:r>
    </w:p>
    <w:p w:rsidR="00B401C2" w:rsidRPr="000F39E1" w:rsidRDefault="00B401C2" w:rsidP="00B401C2">
      <w:pPr>
        <w:ind w:firstLine="708"/>
        <w:jc w:val="both"/>
        <w:rPr>
          <w:sz w:val="26"/>
          <w:szCs w:val="26"/>
        </w:rPr>
      </w:pPr>
      <w:r w:rsidRPr="000F39E1">
        <w:rPr>
          <w:sz w:val="26"/>
          <w:szCs w:val="26"/>
        </w:rPr>
        <w:t>Победитель 3 степени – 130,0 тыс. рублей.</w:t>
      </w:r>
    </w:p>
    <w:p w:rsidR="00B401C2" w:rsidRPr="000F39E1" w:rsidRDefault="00B401C2" w:rsidP="00B401C2">
      <w:pPr>
        <w:ind w:firstLine="708"/>
        <w:jc w:val="both"/>
        <w:rPr>
          <w:sz w:val="26"/>
          <w:szCs w:val="26"/>
        </w:rPr>
      </w:pPr>
      <w:r w:rsidRPr="000F39E1">
        <w:rPr>
          <w:sz w:val="26"/>
          <w:szCs w:val="26"/>
        </w:rPr>
        <w:t xml:space="preserve">Принять участие в конкурсе  могут организации из числа юридических лиц (за исключением государственных учреждений), индивидуальных предпринимателей, зарегистрированных на территории автономного округа. </w:t>
      </w:r>
    </w:p>
    <w:p w:rsidR="00B401C2" w:rsidRPr="000F39E1" w:rsidRDefault="00B401C2" w:rsidP="00B401C2">
      <w:pPr>
        <w:ind w:firstLine="708"/>
        <w:jc w:val="both"/>
        <w:rPr>
          <w:sz w:val="26"/>
          <w:szCs w:val="26"/>
        </w:rPr>
      </w:pPr>
      <w:r w:rsidRPr="000F39E1">
        <w:rPr>
          <w:sz w:val="26"/>
          <w:szCs w:val="26"/>
        </w:rPr>
        <w:t>На момент подачи заявления участник Конкурса должен  соответствовать следующим требованиям:</w:t>
      </w:r>
    </w:p>
    <w:p w:rsidR="00B401C2" w:rsidRPr="000F39E1" w:rsidRDefault="00B401C2" w:rsidP="00B401C2">
      <w:pPr>
        <w:ind w:firstLine="708"/>
        <w:jc w:val="both"/>
        <w:rPr>
          <w:sz w:val="26"/>
          <w:szCs w:val="26"/>
        </w:rPr>
      </w:pPr>
      <w:r w:rsidRPr="000F39E1">
        <w:rPr>
          <w:sz w:val="26"/>
          <w:szCs w:val="26"/>
        </w:rPr>
        <w:t>1. Не иметь задолженности по начисленным налогам, сборам, страховым взносам, пеням, штрафам, процентам либо не</w:t>
      </w:r>
      <w:r w:rsidR="006A23E5">
        <w:rPr>
          <w:sz w:val="26"/>
          <w:szCs w:val="26"/>
        </w:rPr>
        <w:t xml:space="preserve"> </w:t>
      </w:r>
      <w:r w:rsidRPr="000F39E1">
        <w:rPr>
          <w:sz w:val="26"/>
          <w:szCs w:val="26"/>
        </w:rPr>
        <w:t>превышение ее 25 процентов балансовой стоимости его активов по данным бухгалтерской отчетности за последний завершенный отчетный период;</w:t>
      </w:r>
    </w:p>
    <w:p w:rsidR="00B401C2" w:rsidRPr="000F39E1" w:rsidRDefault="00B401C2" w:rsidP="00B401C2">
      <w:pPr>
        <w:ind w:firstLine="708"/>
        <w:jc w:val="both"/>
        <w:rPr>
          <w:sz w:val="26"/>
          <w:szCs w:val="26"/>
        </w:rPr>
      </w:pPr>
      <w:r w:rsidRPr="000F39E1">
        <w:rPr>
          <w:sz w:val="26"/>
          <w:szCs w:val="26"/>
        </w:rPr>
        <w:t>2. Не быть признанным в установленном порядке банкротом или не иметь в установленном порядке введенную процедуру внешнего управления, примененную санацию.</w:t>
      </w:r>
    </w:p>
    <w:p w:rsidR="00B401C2" w:rsidRPr="000F39E1" w:rsidRDefault="00B401C2" w:rsidP="00B401C2">
      <w:pPr>
        <w:ind w:firstLine="708"/>
        <w:jc w:val="both"/>
        <w:rPr>
          <w:sz w:val="26"/>
          <w:szCs w:val="26"/>
        </w:rPr>
      </w:pPr>
      <w:r w:rsidRPr="000F39E1">
        <w:rPr>
          <w:sz w:val="26"/>
          <w:szCs w:val="26"/>
        </w:rPr>
        <w:t>3. Не находиться в процессе ликвидации.</w:t>
      </w:r>
    </w:p>
    <w:p w:rsidR="00B401C2" w:rsidRPr="000F39E1" w:rsidRDefault="00B401C2" w:rsidP="00B401C2">
      <w:pPr>
        <w:ind w:firstLine="708"/>
        <w:jc w:val="both"/>
        <w:rPr>
          <w:sz w:val="26"/>
          <w:szCs w:val="26"/>
        </w:rPr>
      </w:pPr>
      <w:r w:rsidRPr="000F39E1">
        <w:rPr>
          <w:sz w:val="26"/>
          <w:szCs w:val="26"/>
        </w:rPr>
        <w:t>4. Не иметь решения о прекращении деятельности в качестве индивидуального предпринимателя или подачи в регистрирующий орган соответствующего заявления.</w:t>
      </w:r>
    </w:p>
    <w:p w:rsidR="00B401C2" w:rsidRPr="000F39E1" w:rsidRDefault="00B401C2" w:rsidP="00B401C2">
      <w:pPr>
        <w:ind w:firstLine="708"/>
        <w:jc w:val="both"/>
        <w:rPr>
          <w:sz w:val="26"/>
          <w:szCs w:val="26"/>
        </w:rPr>
      </w:pPr>
      <w:r w:rsidRPr="000F39E1">
        <w:rPr>
          <w:sz w:val="26"/>
          <w:szCs w:val="26"/>
        </w:rPr>
        <w:t>Участники Конкурса, ранее получившие Грант или иные межбюджетные трансферты и подтвердившие их целевое использование, могут принять повторное участие в Конкурсе с новым проектом.</w:t>
      </w:r>
    </w:p>
    <w:p w:rsidR="00B401C2" w:rsidRPr="000F39E1" w:rsidRDefault="00B401C2" w:rsidP="00B401C2">
      <w:pPr>
        <w:ind w:firstLine="708"/>
        <w:jc w:val="both"/>
        <w:rPr>
          <w:sz w:val="26"/>
          <w:szCs w:val="26"/>
        </w:rPr>
      </w:pPr>
      <w:r w:rsidRPr="000F39E1">
        <w:rPr>
          <w:sz w:val="26"/>
          <w:szCs w:val="26"/>
        </w:rPr>
        <w:t>Участнику Конкурса необходимо подготовить проект, срок реализации которого не менее 1 года, включающий в себя мероприятия, направленные  на создание условий для активного участия людей пожилого возраста в экономической  жизни автономного округа, оформленный в соответствии с установленными Департаментом требованиями:</w:t>
      </w:r>
    </w:p>
    <w:p w:rsidR="00B401C2" w:rsidRPr="000F39E1" w:rsidRDefault="00B401C2" w:rsidP="00B401C2">
      <w:pPr>
        <w:ind w:firstLine="708"/>
        <w:jc w:val="both"/>
        <w:rPr>
          <w:sz w:val="26"/>
          <w:szCs w:val="26"/>
        </w:rPr>
      </w:pPr>
      <w:r w:rsidRPr="000F39E1">
        <w:rPr>
          <w:sz w:val="26"/>
          <w:szCs w:val="26"/>
        </w:rPr>
        <w:t xml:space="preserve">Титульный лист проекта </w:t>
      </w:r>
      <w:proofErr w:type="gramStart"/>
      <w:r w:rsidRPr="000F39E1">
        <w:rPr>
          <w:sz w:val="26"/>
          <w:szCs w:val="26"/>
        </w:rPr>
        <w:t>оформляется отдельным листом и должен</w:t>
      </w:r>
      <w:proofErr w:type="gramEnd"/>
      <w:r w:rsidRPr="000F39E1">
        <w:rPr>
          <w:sz w:val="26"/>
          <w:szCs w:val="26"/>
        </w:rPr>
        <w:t xml:space="preserve"> содержать название  проекта, внизу листа наименование муниципального образования, год.</w:t>
      </w:r>
    </w:p>
    <w:p w:rsidR="00B401C2" w:rsidRPr="000F39E1" w:rsidRDefault="00B401C2" w:rsidP="00B401C2">
      <w:pPr>
        <w:ind w:firstLine="708"/>
        <w:jc w:val="both"/>
        <w:rPr>
          <w:sz w:val="26"/>
          <w:szCs w:val="26"/>
        </w:rPr>
      </w:pPr>
      <w:r w:rsidRPr="000F39E1">
        <w:rPr>
          <w:sz w:val="26"/>
          <w:szCs w:val="26"/>
        </w:rPr>
        <w:t>Проект, включает в себя основные характеристики:</w:t>
      </w:r>
    </w:p>
    <w:p w:rsidR="00B401C2" w:rsidRPr="000F39E1" w:rsidRDefault="00B401C2" w:rsidP="00B401C2">
      <w:pPr>
        <w:ind w:firstLine="708"/>
        <w:jc w:val="both"/>
        <w:rPr>
          <w:sz w:val="26"/>
          <w:szCs w:val="26"/>
        </w:rPr>
      </w:pPr>
      <w:r w:rsidRPr="000F39E1">
        <w:rPr>
          <w:sz w:val="26"/>
          <w:szCs w:val="26"/>
        </w:rPr>
        <w:t>1. Цель проекта.</w:t>
      </w:r>
    </w:p>
    <w:p w:rsidR="00B401C2" w:rsidRPr="000F39E1" w:rsidRDefault="00B401C2" w:rsidP="00B401C2">
      <w:pPr>
        <w:ind w:firstLine="708"/>
        <w:jc w:val="both"/>
        <w:rPr>
          <w:sz w:val="26"/>
          <w:szCs w:val="26"/>
        </w:rPr>
      </w:pPr>
      <w:r w:rsidRPr="000F39E1">
        <w:rPr>
          <w:sz w:val="26"/>
          <w:szCs w:val="26"/>
        </w:rPr>
        <w:t>2. Задачи проекта.</w:t>
      </w:r>
    </w:p>
    <w:p w:rsidR="00B401C2" w:rsidRPr="000F39E1" w:rsidRDefault="00B401C2" w:rsidP="00B401C2">
      <w:pPr>
        <w:ind w:firstLine="708"/>
        <w:jc w:val="both"/>
        <w:rPr>
          <w:sz w:val="26"/>
          <w:szCs w:val="26"/>
        </w:rPr>
      </w:pPr>
      <w:r w:rsidRPr="000F39E1">
        <w:rPr>
          <w:sz w:val="26"/>
          <w:szCs w:val="26"/>
        </w:rPr>
        <w:t>3. Обоснование его значимости.</w:t>
      </w:r>
    </w:p>
    <w:p w:rsidR="00B401C2" w:rsidRPr="000F39E1" w:rsidRDefault="00B401C2" w:rsidP="00B401C2">
      <w:pPr>
        <w:ind w:firstLine="708"/>
        <w:jc w:val="both"/>
        <w:rPr>
          <w:sz w:val="26"/>
          <w:szCs w:val="26"/>
        </w:rPr>
      </w:pPr>
      <w:r w:rsidRPr="000F39E1">
        <w:rPr>
          <w:sz w:val="26"/>
          <w:szCs w:val="26"/>
        </w:rPr>
        <w:lastRenderedPageBreak/>
        <w:t>4. Перечень мероприятий по основным направлениям реализации проекта с указанием объема и источников финансового обеспечения по каждому мероприятию.</w:t>
      </w:r>
    </w:p>
    <w:p w:rsidR="00B401C2" w:rsidRPr="000F39E1" w:rsidRDefault="00B401C2" w:rsidP="00B401C2">
      <w:pPr>
        <w:ind w:firstLine="708"/>
        <w:jc w:val="both"/>
        <w:rPr>
          <w:sz w:val="26"/>
          <w:szCs w:val="26"/>
        </w:rPr>
      </w:pPr>
      <w:r w:rsidRPr="000F39E1">
        <w:rPr>
          <w:sz w:val="26"/>
          <w:szCs w:val="26"/>
        </w:rPr>
        <w:t>Мероприятия программы могут отражать следующие направления деятельности:</w:t>
      </w:r>
    </w:p>
    <w:p w:rsidR="00B401C2" w:rsidRPr="000F39E1" w:rsidRDefault="00B401C2" w:rsidP="00B401C2">
      <w:pPr>
        <w:ind w:firstLine="708"/>
        <w:jc w:val="both"/>
        <w:rPr>
          <w:sz w:val="26"/>
          <w:szCs w:val="26"/>
        </w:rPr>
      </w:pPr>
      <w:r w:rsidRPr="000F39E1">
        <w:rPr>
          <w:sz w:val="26"/>
          <w:szCs w:val="26"/>
        </w:rPr>
        <w:t>создание рабочих мест для трудоустройства пожилых граждан;</w:t>
      </w:r>
    </w:p>
    <w:p w:rsidR="00B401C2" w:rsidRPr="000F39E1" w:rsidRDefault="00B401C2" w:rsidP="00B401C2">
      <w:pPr>
        <w:ind w:firstLine="708"/>
        <w:jc w:val="both"/>
        <w:rPr>
          <w:sz w:val="26"/>
          <w:szCs w:val="26"/>
        </w:rPr>
      </w:pPr>
      <w:r w:rsidRPr="000F39E1">
        <w:rPr>
          <w:sz w:val="26"/>
          <w:szCs w:val="26"/>
        </w:rPr>
        <w:t>обучение пожилых граждан, в том числе новым профессиям, и их трудоустройство после обучения;</w:t>
      </w:r>
    </w:p>
    <w:p w:rsidR="00B401C2" w:rsidRPr="000F39E1" w:rsidRDefault="00B401C2" w:rsidP="00B401C2">
      <w:pPr>
        <w:ind w:firstLine="708"/>
        <w:jc w:val="both"/>
        <w:rPr>
          <w:sz w:val="26"/>
          <w:szCs w:val="26"/>
        </w:rPr>
      </w:pPr>
      <w:r w:rsidRPr="000F39E1">
        <w:rPr>
          <w:sz w:val="26"/>
          <w:szCs w:val="26"/>
        </w:rPr>
        <w:t>привлечение пожилых граждан в качестве наставников для молодых специалистов;</w:t>
      </w:r>
    </w:p>
    <w:p w:rsidR="00B401C2" w:rsidRPr="000F39E1" w:rsidRDefault="00B401C2" w:rsidP="00B401C2">
      <w:pPr>
        <w:ind w:firstLine="708"/>
        <w:jc w:val="both"/>
        <w:rPr>
          <w:sz w:val="26"/>
          <w:szCs w:val="26"/>
        </w:rPr>
      </w:pPr>
      <w:r w:rsidRPr="000F39E1">
        <w:rPr>
          <w:sz w:val="26"/>
          <w:szCs w:val="26"/>
        </w:rPr>
        <w:t>иные направления деятельности, направленные на создание условий по вовлечению людей пожилого возраста в экономической жизни автономного округа.</w:t>
      </w:r>
    </w:p>
    <w:p w:rsidR="00B401C2" w:rsidRPr="000F39E1" w:rsidRDefault="00B401C2" w:rsidP="00B401C2">
      <w:pPr>
        <w:ind w:firstLine="708"/>
        <w:jc w:val="both"/>
        <w:rPr>
          <w:sz w:val="26"/>
          <w:szCs w:val="26"/>
        </w:rPr>
      </w:pPr>
      <w:r w:rsidRPr="000F39E1">
        <w:rPr>
          <w:sz w:val="26"/>
          <w:szCs w:val="26"/>
        </w:rPr>
        <w:t>Проект может включать как одно из вышеперечисленных направлений деятельности, так и несколько направлений одновременно.</w:t>
      </w:r>
    </w:p>
    <w:p w:rsidR="00B401C2" w:rsidRPr="000F39E1" w:rsidRDefault="00B401C2" w:rsidP="00B401C2">
      <w:pPr>
        <w:ind w:firstLine="708"/>
        <w:jc w:val="both"/>
        <w:rPr>
          <w:sz w:val="26"/>
          <w:szCs w:val="26"/>
        </w:rPr>
      </w:pPr>
      <w:r w:rsidRPr="000F39E1">
        <w:rPr>
          <w:sz w:val="26"/>
          <w:szCs w:val="26"/>
        </w:rPr>
        <w:t>5. Ожидаемые результаты, значения целевых показателей проекта на текущий финансовый год, в том числе число трудоустроенных пожилых граждан, число созданных рабочих мест и другие показатели.</w:t>
      </w:r>
    </w:p>
    <w:p w:rsidR="00B401C2" w:rsidRPr="000F39E1" w:rsidRDefault="00B401C2" w:rsidP="00B401C2">
      <w:pPr>
        <w:ind w:firstLine="708"/>
        <w:jc w:val="both"/>
        <w:rPr>
          <w:sz w:val="26"/>
          <w:szCs w:val="26"/>
        </w:rPr>
      </w:pPr>
      <w:r w:rsidRPr="000F39E1">
        <w:rPr>
          <w:sz w:val="26"/>
          <w:szCs w:val="26"/>
        </w:rPr>
        <w:t>6. Краткое описание организационно-технических возможностей исполнения проекта.</w:t>
      </w:r>
    </w:p>
    <w:p w:rsidR="00B401C2" w:rsidRPr="000F39E1" w:rsidRDefault="00B401C2" w:rsidP="00B401C2">
      <w:pPr>
        <w:ind w:firstLine="708"/>
        <w:jc w:val="both"/>
        <w:rPr>
          <w:sz w:val="26"/>
          <w:szCs w:val="26"/>
        </w:rPr>
      </w:pPr>
      <w:r w:rsidRPr="000F39E1">
        <w:rPr>
          <w:sz w:val="26"/>
          <w:szCs w:val="26"/>
        </w:rPr>
        <w:t>7.Обоснование объема финансовой поддержки, необходимой для осуществления проекта (с приложением расчета затрат).</w:t>
      </w:r>
    </w:p>
    <w:p w:rsidR="00B401C2" w:rsidRPr="000F39E1" w:rsidRDefault="00B401C2" w:rsidP="00B401C2">
      <w:pPr>
        <w:ind w:firstLine="708"/>
        <w:jc w:val="both"/>
        <w:rPr>
          <w:sz w:val="26"/>
          <w:szCs w:val="26"/>
        </w:rPr>
      </w:pPr>
      <w:r w:rsidRPr="000F39E1">
        <w:rPr>
          <w:sz w:val="26"/>
          <w:szCs w:val="26"/>
        </w:rPr>
        <w:t>8. План-график реализации мероприятий проекта с указанием последовательности проведения.</w:t>
      </w:r>
    </w:p>
    <w:p w:rsidR="00B401C2" w:rsidRPr="000F39E1" w:rsidRDefault="00B401C2" w:rsidP="00B401C2">
      <w:pPr>
        <w:ind w:firstLine="708"/>
        <w:jc w:val="both"/>
        <w:rPr>
          <w:sz w:val="26"/>
          <w:szCs w:val="26"/>
        </w:rPr>
      </w:pPr>
      <w:r w:rsidRPr="000F39E1">
        <w:rPr>
          <w:sz w:val="26"/>
          <w:szCs w:val="26"/>
        </w:rPr>
        <w:t xml:space="preserve">9. Список исполнителей и соисполнителей. </w:t>
      </w:r>
    </w:p>
    <w:p w:rsidR="00B401C2" w:rsidRPr="000F39E1" w:rsidRDefault="00B401C2" w:rsidP="00B401C2">
      <w:pPr>
        <w:ind w:firstLine="708"/>
        <w:jc w:val="both"/>
        <w:rPr>
          <w:sz w:val="26"/>
          <w:szCs w:val="26"/>
        </w:rPr>
      </w:pPr>
      <w:r w:rsidRPr="000F39E1">
        <w:rPr>
          <w:sz w:val="26"/>
          <w:szCs w:val="26"/>
        </w:rPr>
        <w:t>10. Место реализации  проекта.</w:t>
      </w:r>
    </w:p>
    <w:p w:rsidR="00B401C2" w:rsidRPr="000F39E1" w:rsidRDefault="00B401C2" w:rsidP="00B401C2">
      <w:pPr>
        <w:ind w:firstLine="708"/>
        <w:jc w:val="both"/>
        <w:rPr>
          <w:sz w:val="26"/>
          <w:szCs w:val="26"/>
        </w:rPr>
      </w:pPr>
      <w:r w:rsidRPr="000F39E1">
        <w:rPr>
          <w:sz w:val="26"/>
          <w:szCs w:val="26"/>
        </w:rPr>
        <w:t>11. Презентации, фото-, виде</w:t>
      </w:r>
      <w:proofErr w:type="gramStart"/>
      <w:r w:rsidRPr="000F39E1">
        <w:rPr>
          <w:sz w:val="26"/>
          <w:szCs w:val="26"/>
        </w:rPr>
        <w:t>о-</w:t>
      </w:r>
      <w:proofErr w:type="gramEnd"/>
      <w:r w:rsidRPr="000F39E1">
        <w:rPr>
          <w:sz w:val="26"/>
          <w:szCs w:val="26"/>
        </w:rPr>
        <w:t xml:space="preserve"> и иные материалы, отражающие суть проекта (при условии реализации проекта до момента представления его на Конкурс).</w:t>
      </w:r>
    </w:p>
    <w:p w:rsidR="00B401C2" w:rsidRPr="000F39E1" w:rsidRDefault="00B401C2" w:rsidP="00B401C2">
      <w:pPr>
        <w:ind w:firstLine="708"/>
        <w:jc w:val="both"/>
        <w:rPr>
          <w:sz w:val="26"/>
          <w:szCs w:val="26"/>
        </w:rPr>
      </w:pPr>
      <w:r w:rsidRPr="000F39E1">
        <w:rPr>
          <w:sz w:val="26"/>
          <w:szCs w:val="26"/>
        </w:rPr>
        <w:t xml:space="preserve">12. </w:t>
      </w:r>
      <w:proofErr w:type="gramStart"/>
      <w:r w:rsidRPr="000F39E1">
        <w:rPr>
          <w:sz w:val="26"/>
          <w:szCs w:val="26"/>
        </w:rPr>
        <w:t>Пояснительная записка (краткое изложение содержания проекта, объем средств, необходимый для его реализации, результативность (целевые показатели).</w:t>
      </w:r>
      <w:proofErr w:type="gramEnd"/>
    </w:p>
    <w:p w:rsidR="00B401C2" w:rsidRPr="000F39E1" w:rsidRDefault="00B401C2" w:rsidP="00B401C2">
      <w:pPr>
        <w:ind w:firstLine="708"/>
        <w:jc w:val="both"/>
        <w:rPr>
          <w:sz w:val="26"/>
          <w:szCs w:val="26"/>
        </w:rPr>
      </w:pPr>
      <w:r w:rsidRPr="000F39E1">
        <w:rPr>
          <w:sz w:val="26"/>
          <w:szCs w:val="26"/>
        </w:rPr>
        <w:t>Расчет затрат по проекту включает в себя расходы, связанные с реализацией мероприятий проекта (приобретение необходимых технических средств, оборудования, расходного материала).</w:t>
      </w:r>
    </w:p>
    <w:p w:rsidR="00B401C2" w:rsidRPr="000F39E1" w:rsidRDefault="00B401C2" w:rsidP="00B401C2">
      <w:pPr>
        <w:ind w:firstLine="708"/>
        <w:jc w:val="both"/>
        <w:rPr>
          <w:sz w:val="26"/>
          <w:szCs w:val="26"/>
        </w:rPr>
      </w:pPr>
      <w:proofErr w:type="gramStart"/>
      <w:r w:rsidRPr="000F39E1">
        <w:rPr>
          <w:sz w:val="26"/>
          <w:szCs w:val="26"/>
        </w:rPr>
        <w:t>Не допускается включать в расчет затрат по проекту расходов, связанных с заработной платой руководителя проекта и исполнителей проекта, а также средства Гранта не могут быть использованы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roofErr w:type="gramEnd"/>
      <w:r w:rsidRPr="000F39E1">
        <w:rPr>
          <w:sz w:val="26"/>
          <w:szCs w:val="26"/>
        </w:rPr>
        <w:t xml:space="preserve"> операций по доставке и уплате обязательных таможенных платежей.</w:t>
      </w:r>
    </w:p>
    <w:p w:rsidR="00B401C2" w:rsidRPr="000F39E1" w:rsidRDefault="00B401C2" w:rsidP="00B401C2">
      <w:pPr>
        <w:ind w:firstLine="708"/>
        <w:jc w:val="both"/>
        <w:rPr>
          <w:sz w:val="26"/>
          <w:szCs w:val="26"/>
        </w:rPr>
      </w:pPr>
    </w:p>
    <w:p w:rsidR="00B401C2" w:rsidRPr="000F39E1" w:rsidRDefault="00B401C2" w:rsidP="00B401C2">
      <w:pPr>
        <w:ind w:firstLine="708"/>
        <w:jc w:val="both"/>
        <w:rPr>
          <w:sz w:val="26"/>
          <w:szCs w:val="26"/>
        </w:rPr>
      </w:pPr>
      <w:r w:rsidRPr="000F39E1">
        <w:rPr>
          <w:sz w:val="26"/>
          <w:szCs w:val="26"/>
        </w:rPr>
        <w:t>Конкурс проводится экспертной комиссией, созданной Департаментом.</w:t>
      </w:r>
    </w:p>
    <w:p w:rsidR="00B401C2" w:rsidRPr="000F39E1" w:rsidRDefault="00B401C2" w:rsidP="00B401C2">
      <w:pPr>
        <w:ind w:firstLine="708"/>
        <w:jc w:val="both"/>
        <w:rPr>
          <w:sz w:val="26"/>
          <w:szCs w:val="26"/>
        </w:rPr>
      </w:pPr>
      <w:r w:rsidRPr="000F39E1">
        <w:rPr>
          <w:sz w:val="26"/>
          <w:szCs w:val="26"/>
        </w:rPr>
        <w:t>Проведение Конкурса осуществляется в два этапа:</w:t>
      </w:r>
    </w:p>
    <w:p w:rsidR="00B401C2" w:rsidRPr="000F39E1" w:rsidRDefault="00B401C2" w:rsidP="00B401C2">
      <w:pPr>
        <w:ind w:firstLine="708"/>
        <w:jc w:val="both"/>
        <w:rPr>
          <w:sz w:val="26"/>
          <w:szCs w:val="26"/>
        </w:rPr>
      </w:pPr>
      <w:r w:rsidRPr="000F39E1">
        <w:rPr>
          <w:sz w:val="26"/>
          <w:szCs w:val="26"/>
        </w:rPr>
        <w:t>Первый этап – рассмотрение представленных на Конкурс документов с целью соответствия участников Конкурса требованиям, указанным в разделе 4 настоящего Положения;</w:t>
      </w:r>
    </w:p>
    <w:p w:rsidR="00B401C2" w:rsidRPr="000F39E1" w:rsidRDefault="00B401C2" w:rsidP="00B401C2">
      <w:pPr>
        <w:ind w:firstLine="708"/>
        <w:jc w:val="both"/>
        <w:rPr>
          <w:sz w:val="26"/>
          <w:szCs w:val="26"/>
        </w:rPr>
      </w:pPr>
      <w:r w:rsidRPr="000F39E1">
        <w:rPr>
          <w:sz w:val="26"/>
          <w:szCs w:val="26"/>
        </w:rPr>
        <w:t>Второй этап – оценка представленных на Конкурс проектов.</w:t>
      </w:r>
    </w:p>
    <w:p w:rsidR="00B401C2" w:rsidRPr="000F39E1" w:rsidRDefault="00B401C2" w:rsidP="00B401C2">
      <w:pPr>
        <w:ind w:firstLine="708"/>
        <w:jc w:val="both"/>
        <w:rPr>
          <w:sz w:val="26"/>
          <w:szCs w:val="26"/>
        </w:rPr>
      </w:pPr>
      <w:r w:rsidRPr="000F39E1">
        <w:rPr>
          <w:sz w:val="26"/>
          <w:szCs w:val="26"/>
        </w:rPr>
        <w:lastRenderedPageBreak/>
        <w:t>Экспертная комиссия осуществляет экспертизу проектов по следующим критериям  пятибалльной шкалы:</w:t>
      </w:r>
    </w:p>
    <w:p w:rsidR="00B401C2" w:rsidRPr="000F39E1" w:rsidRDefault="00B401C2" w:rsidP="00B401C2">
      <w:pPr>
        <w:ind w:firstLine="708"/>
        <w:jc w:val="both"/>
        <w:rPr>
          <w:sz w:val="26"/>
          <w:szCs w:val="26"/>
        </w:rPr>
      </w:pPr>
      <w:r w:rsidRPr="000F39E1">
        <w:rPr>
          <w:sz w:val="26"/>
          <w:szCs w:val="26"/>
        </w:rPr>
        <w:t xml:space="preserve">– соответствие направлениям поддержки (оценивается соответствие целей, мероприятий проекта, наличие и реалистичность </w:t>
      </w:r>
      <w:proofErr w:type="gramStart"/>
      <w:r w:rsidRPr="000F39E1">
        <w:rPr>
          <w:sz w:val="26"/>
          <w:szCs w:val="26"/>
        </w:rPr>
        <w:t>значений показателей результативности реализации проекта</w:t>
      </w:r>
      <w:proofErr w:type="gramEnd"/>
      <w:r w:rsidRPr="000F39E1">
        <w:rPr>
          <w:sz w:val="26"/>
          <w:szCs w:val="26"/>
        </w:rPr>
        <w:t>;</w:t>
      </w:r>
    </w:p>
    <w:p w:rsidR="00B401C2" w:rsidRPr="000F39E1" w:rsidRDefault="00B401C2" w:rsidP="00B401C2">
      <w:pPr>
        <w:ind w:firstLine="708"/>
        <w:jc w:val="both"/>
        <w:rPr>
          <w:sz w:val="26"/>
          <w:szCs w:val="26"/>
        </w:rPr>
      </w:pPr>
      <w:r w:rsidRPr="000F39E1">
        <w:rPr>
          <w:sz w:val="26"/>
          <w:szCs w:val="26"/>
        </w:rPr>
        <w:t xml:space="preserve">– актуальность (оценивается вероятность и скорость наступления отрицательных последствий в случае отказа от реализации мероприятий проекта, масштаб негативных последствий, а также наличие или отсутствие государственных (муниципальных) мер для решения таких же или </w:t>
      </w:r>
      <w:proofErr w:type="gramStart"/>
      <w:r w:rsidRPr="000F39E1">
        <w:rPr>
          <w:sz w:val="26"/>
          <w:szCs w:val="26"/>
        </w:rPr>
        <w:t>аналогичных проблем</w:t>
      </w:r>
      <w:proofErr w:type="gramEnd"/>
      <w:r w:rsidRPr="000F39E1">
        <w:rPr>
          <w:sz w:val="26"/>
          <w:szCs w:val="26"/>
        </w:rPr>
        <w:t>);</w:t>
      </w:r>
    </w:p>
    <w:p w:rsidR="00B401C2" w:rsidRPr="000F39E1" w:rsidRDefault="00B401C2" w:rsidP="00B401C2">
      <w:pPr>
        <w:ind w:firstLine="708"/>
        <w:jc w:val="both"/>
        <w:rPr>
          <w:sz w:val="26"/>
          <w:szCs w:val="26"/>
        </w:rPr>
      </w:pPr>
      <w:proofErr w:type="gramStart"/>
      <w:r w:rsidRPr="000F39E1">
        <w:rPr>
          <w:sz w:val="26"/>
          <w:szCs w:val="26"/>
        </w:rPr>
        <w:t>– 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заявляемым в проекте, предоставление информации об организации в сети Интернет);</w:t>
      </w:r>
      <w:proofErr w:type="gramEnd"/>
    </w:p>
    <w:p w:rsidR="00B401C2" w:rsidRPr="000F39E1" w:rsidRDefault="00B401C2" w:rsidP="00B401C2">
      <w:pPr>
        <w:ind w:firstLine="708"/>
        <w:jc w:val="both"/>
        <w:rPr>
          <w:sz w:val="26"/>
          <w:szCs w:val="26"/>
        </w:rPr>
      </w:pPr>
      <w:r w:rsidRPr="000F39E1">
        <w:rPr>
          <w:sz w:val="26"/>
          <w:szCs w:val="26"/>
        </w:rPr>
        <w:t>– 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B401C2" w:rsidRPr="000F39E1" w:rsidRDefault="00B401C2" w:rsidP="00B401C2">
      <w:pPr>
        <w:ind w:firstLine="708"/>
        <w:jc w:val="both"/>
        <w:rPr>
          <w:sz w:val="26"/>
          <w:szCs w:val="26"/>
        </w:rPr>
      </w:pPr>
      <w:r w:rsidRPr="000F39E1">
        <w:rPr>
          <w:sz w:val="26"/>
          <w:szCs w:val="26"/>
        </w:rPr>
        <w:t xml:space="preserve">– обоснованность (соответствие запрашиваемых средств на поддержку целям и мероприятиям проекта, наличие необходимых обоснований, расчетов, логики и </w:t>
      </w:r>
      <w:proofErr w:type="spellStart"/>
      <w:r w:rsidRPr="000F39E1">
        <w:rPr>
          <w:sz w:val="26"/>
          <w:szCs w:val="26"/>
        </w:rPr>
        <w:t>взаимоувязки</w:t>
      </w:r>
      <w:proofErr w:type="spellEnd"/>
      <w:r w:rsidRPr="000F39E1">
        <w:rPr>
          <w:sz w:val="26"/>
          <w:szCs w:val="26"/>
        </w:rPr>
        <w:t xml:space="preserve"> предлагаемых мероприятий);</w:t>
      </w:r>
    </w:p>
    <w:p w:rsidR="00B401C2" w:rsidRPr="000F39E1" w:rsidRDefault="00B401C2" w:rsidP="00B401C2">
      <w:pPr>
        <w:ind w:firstLine="708"/>
        <w:jc w:val="both"/>
        <w:rPr>
          <w:sz w:val="26"/>
          <w:szCs w:val="26"/>
        </w:rPr>
      </w:pPr>
      <w:r w:rsidRPr="000F39E1">
        <w:rPr>
          <w:sz w:val="26"/>
          <w:szCs w:val="26"/>
        </w:rPr>
        <w:t>– экономическая эффективность (соотношение затрат и полученных результатов (в случаях, когда такая оценка возможна), количество пожилых граждан, трудоустраиваемых на рынке труда, количество создаваемых рабочих мест, объем предполагаемых поступлений на реализацию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p w:rsidR="00B401C2" w:rsidRPr="000F39E1" w:rsidRDefault="00B401C2" w:rsidP="00B401C2">
      <w:pPr>
        <w:ind w:firstLine="708"/>
        <w:jc w:val="both"/>
        <w:rPr>
          <w:sz w:val="26"/>
          <w:szCs w:val="26"/>
        </w:rPr>
      </w:pPr>
      <w:r w:rsidRPr="000F39E1">
        <w:rPr>
          <w:sz w:val="26"/>
          <w:szCs w:val="26"/>
        </w:rPr>
        <w:t xml:space="preserve">Прием документов осуществляется с 15 по 26 мая 2017 года Департаментом труда и занятости населения автономного округа по адресу: г. Ханты-Мансийск, ул. Карла Маркса, 12, </w:t>
      </w:r>
      <w:proofErr w:type="spellStart"/>
      <w:r w:rsidRPr="000F39E1">
        <w:rPr>
          <w:sz w:val="26"/>
          <w:szCs w:val="26"/>
        </w:rPr>
        <w:t>каб</w:t>
      </w:r>
      <w:proofErr w:type="spellEnd"/>
      <w:r w:rsidRPr="000F39E1">
        <w:rPr>
          <w:sz w:val="26"/>
          <w:szCs w:val="26"/>
        </w:rPr>
        <w:t>. 56.</w:t>
      </w:r>
    </w:p>
    <w:p w:rsidR="00B401C2" w:rsidRPr="000F39E1" w:rsidRDefault="00B401C2" w:rsidP="00B401C2">
      <w:pPr>
        <w:ind w:firstLine="708"/>
        <w:jc w:val="both"/>
        <w:rPr>
          <w:sz w:val="26"/>
          <w:szCs w:val="26"/>
        </w:rPr>
      </w:pPr>
      <w:r w:rsidRPr="000F39E1">
        <w:rPr>
          <w:sz w:val="26"/>
          <w:szCs w:val="26"/>
        </w:rPr>
        <w:t>График работы: понедельник: 09</w:t>
      </w:r>
      <w:r>
        <w:rPr>
          <w:sz w:val="26"/>
          <w:szCs w:val="26"/>
        </w:rPr>
        <w:t>.</w:t>
      </w:r>
      <w:r w:rsidRPr="000F39E1">
        <w:rPr>
          <w:sz w:val="26"/>
          <w:szCs w:val="26"/>
        </w:rPr>
        <w:t>00 – 18</w:t>
      </w:r>
      <w:r>
        <w:rPr>
          <w:sz w:val="26"/>
          <w:szCs w:val="26"/>
        </w:rPr>
        <w:t>.</w:t>
      </w:r>
      <w:r w:rsidRPr="000F39E1">
        <w:rPr>
          <w:sz w:val="26"/>
          <w:szCs w:val="26"/>
        </w:rPr>
        <w:t>00, вторник-пятница: 09</w:t>
      </w:r>
      <w:r>
        <w:rPr>
          <w:sz w:val="26"/>
          <w:szCs w:val="26"/>
        </w:rPr>
        <w:t>.</w:t>
      </w:r>
      <w:r w:rsidRPr="000F39E1">
        <w:rPr>
          <w:sz w:val="26"/>
          <w:szCs w:val="26"/>
        </w:rPr>
        <w:t>00 – 17</w:t>
      </w:r>
      <w:r>
        <w:rPr>
          <w:sz w:val="26"/>
          <w:szCs w:val="26"/>
        </w:rPr>
        <w:t>.</w:t>
      </w:r>
      <w:r w:rsidRPr="000F39E1">
        <w:rPr>
          <w:sz w:val="26"/>
          <w:szCs w:val="26"/>
        </w:rPr>
        <w:t>00, перерыв на обед  13</w:t>
      </w:r>
      <w:r>
        <w:rPr>
          <w:sz w:val="26"/>
          <w:szCs w:val="26"/>
        </w:rPr>
        <w:t>.</w:t>
      </w:r>
      <w:r w:rsidRPr="000F39E1">
        <w:rPr>
          <w:sz w:val="26"/>
          <w:szCs w:val="26"/>
        </w:rPr>
        <w:t>00  – 14</w:t>
      </w:r>
      <w:r>
        <w:rPr>
          <w:sz w:val="26"/>
          <w:szCs w:val="26"/>
        </w:rPr>
        <w:t>.</w:t>
      </w:r>
      <w:r w:rsidRPr="000F39E1">
        <w:rPr>
          <w:sz w:val="26"/>
          <w:szCs w:val="26"/>
        </w:rPr>
        <w:t>00.</w:t>
      </w:r>
    </w:p>
    <w:p w:rsidR="00B401C2" w:rsidRPr="000F39E1" w:rsidRDefault="00B401C2" w:rsidP="00B401C2">
      <w:pPr>
        <w:ind w:firstLine="708"/>
        <w:jc w:val="both"/>
        <w:rPr>
          <w:sz w:val="26"/>
          <w:szCs w:val="26"/>
        </w:rPr>
      </w:pPr>
      <w:r w:rsidRPr="000F39E1">
        <w:rPr>
          <w:sz w:val="26"/>
          <w:szCs w:val="26"/>
        </w:rPr>
        <w:t>Контактный телефон для получения консультаций по вопросам подготовки документов для участия в Конкурсе – 8 (3467) 32 99 60.</w:t>
      </w:r>
    </w:p>
    <w:p w:rsidR="00B401C2" w:rsidRPr="000F39E1" w:rsidRDefault="00B401C2" w:rsidP="00B401C2">
      <w:pPr>
        <w:ind w:firstLine="708"/>
        <w:jc w:val="both"/>
        <w:rPr>
          <w:sz w:val="26"/>
          <w:szCs w:val="26"/>
        </w:rPr>
      </w:pPr>
      <w:r w:rsidRPr="000F39E1">
        <w:rPr>
          <w:sz w:val="26"/>
          <w:szCs w:val="26"/>
        </w:rPr>
        <w:t xml:space="preserve">Более подробную информацию можно узнать на официальном сайте </w:t>
      </w:r>
      <w:proofErr w:type="spellStart"/>
      <w:r w:rsidRPr="000F39E1">
        <w:rPr>
          <w:sz w:val="26"/>
          <w:szCs w:val="26"/>
        </w:rPr>
        <w:t>Дептруда</w:t>
      </w:r>
      <w:proofErr w:type="spellEnd"/>
      <w:r w:rsidRPr="000F39E1">
        <w:rPr>
          <w:sz w:val="26"/>
          <w:szCs w:val="26"/>
        </w:rPr>
        <w:t xml:space="preserve"> и занятости Югры http://www.deptrud.admhmao.ru в разделе «Конкурсы».</w:t>
      </w:r>
    </w:p>
    <w:p w:rsidR="00B401C2" w:rsidRPr="000F39E1" w:rsidRDefault="00B401C2" w:rsidP="00B401C2">
      <w:pPr>
        <w:ind w:firstLine="708"/>
        <w:jc w:val="both"/>
        <w:rPr>
          <w:sz w:val="26"/>
          <w:szCs w:val="26"/>
        </w:rPr>
      </w:pPr>
      <w:r w:rsidRPr="000F39E1">
        <w:rPr>
          <w:sz w:val="26"/>
          <w:szCs w:val="26"/>
        </w:rPr>
        <w:t>Проведение этапов Конкурса начинается  с  29   мая 2017 года.</w:t>
      </w:r>
    </w:p>
    <w:p w:rsidR="00D60101" w:rsidRDefault="00D60101"/>
    <w:sectPr w:rsidR="00D60101" w:rsidSect="00A0758E">
      <w:headerReference w:type="even" r:id="rId7"/>
      <w:headerReference w:type="default" r:id="rId8"/>
      <w:pgSz w:w="11906" w:h="16838"/>
      <w:pgMar w:top="1134" w:right="850" w:bottom="1134" w:left="1701" w:header="709" w:footer="3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23E5">
      <w:r>
        <w:separator/>
      </w:r>
    </w:p>
  </w:endnote>
  <w:endnote w:type="continuationSeparator" w:id="0">
    <w:p w:rsidR="00000000" w:rsidRDefault="006A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23E5">
      <w:r>
        <w:separator/>
      </w:r>
    </w:p>
  </w:footnote>
  <w:footnote w:type="continuationSeparator" w:id="0">
    <w:p w:rsidR="00000000" w:rsidRDefault="006A2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D6" w:rsidRDefault="004F6356" w:rsidP="00D75C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06D6" w:rsidRDefault="006A23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D6" w:rsidRDefault="006A23E5">
    <w:pPr>
      <w:pStyle w:val="a3"/>
    </w:pPr>
  </w:p>
  <w:p w:rsidR="004A06D6" w:rsidRDefault="006A23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C2"/>
    <w:rsid w:val="004F6356"/>
    <w:rsid w:val="006A23E5"/>
    <w:rsid w:val="00B401C2"/>
    <w:rsid w:val="00D60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01C2"/>
    <w:pPr>
      <w:tabs>
        <w:tab w:val="center" w:pos="4677"/>
        <w:tab w:val="right" w:pos="9355"/>
      </w:tabs>
    </w:pPr>
  </w:style>
  <w:style w:type="character" w:customStyle="1" w:styleId="a4">
    <w:name w:val="Верхний колонтитул Знак"/>
    <w:basedOn w:val="a0"/>
    <w:link w:val="a3"/>
    <w:rsid w:val="00B401C2"/>
    <w:rPr>
      <w:rFonts w:ascii="Times New Roman" w:eastAsia="Times New Roman" w:hAnsi="Times New Roman" w:cs="Times New Roman"/>
      <w:sz w:val="24"/>
      <w:szCs w:val="24"/>
      <w:lang w:eastAsia="ru-RU"/>
    </w:rPr>
  </w:style>
  <w:style w:type="character" w:styleId="a5">
    <w:name w:val="page number"/>
    <w:basedOn w:val="a0"/>
    <w:rsid w:val="00B40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01C2"/>
    <w:pPr>
      <w:tabs>
        <w:tab w:val="center" w:pos="4677"/>
        <w:tab w:val="right" w:pos="9355"/>
      </w:tabs>
    </w:pPr>
  </w:style>
  <w:style w:type="character" w:customStyle="1" w:styleId="a4">
    <w:name w:val="Верхний колонтитул Знак"/>
    <w:basedOn w:val="a0"/>
    <w:link w:val="a3"/>
    <w:rsid w:val="00B401C2"/>
    <w:rPr>
      <w:rFonts w:ascii="Times New Roman" w:eastAsia="Times New Roman" w:hAnsi="Times New Roman" w:cs="Times New Roman"/>
      <w:sz w:val="24"/>
      <w:szCs w:val="24"/>
      <w:lang w:eastAsia="ru-RU"/>
    </w:rPr>
  </w:style>
  <w:style w:type="character" w:styleId="a5">
    <w:name w:val="page number"/>
    <w:basedOn w:val="a0"/>
    <w:rsid w:val="00B4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Галина Валентиновна</dc:creator>
  <cp:lastModifiedBy>Герасимова Галина Валентиновна</cp:lastModifiedBy>
  <cp:revision>2</cp:revision>
  <dcterms:created xsi:type="dcterms:W3CDTF">2017-04-27T11:15:00Z</dcterms:created>
  <dcterms:modified xsi:type="dcterms:W3CDTF">2017-04-27T12:20:00Z</dcterms:modified>
</cp:coreProperties>
</file>