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3F" w:rsidRPr="0033683F" w:rsidRDefault="0033683F" w:rsidP="0033683F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33683F">
        <w:rPr>
          <w:b/>
          <w:bCs/>
          <w:noProof/>
          <w:sz w:val="22"/>
          <w:szCs w:val="22"/>
        </w:rPr>
        <w:drawing>
          <wp:inline distT="0" distB="0" distL="0" distR="0" wp14:anchorId="720C54BF" wp14:editId="5E1C09D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3F" w:rsidRPr="0033683F" w:rsidRDefault="0033683F" w:rsidP="0033683F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3683F" w:rsidRPr="0033683F" w:rsidRDefault="0033683F" w:rsidP="0033683F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33683F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33683F" w:rsidRPr="0033683F" w:rsidRDefault="0033683F" w:rsidP="0033683F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33683F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33683F" w:rsidRPr="0033683F" w:rsidRDefault="0033683F" w:rsidP="0033683F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33683F" w:rsidRPr="0033683F" w:rsidRDefault="0033683F" w:rsidP="0033683F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33683F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33683F" w:rsidRPr="0033683F" w:rsidRDefault="0033683F" w:rsidP="0033683F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683F" w:rsidRPr="0033683F" w:rsidTr="00F1021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683F" w:rsidRPr="0033683F" w:rsidRDefault="0033683F" w:rsidP="003368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28.03.2019</w:t>
            </w:r>
          </w:p>
        </w:tc>
        <w:tc>
          <w:tcPr>
            <w:tcW w:w="6595" w:type="dxa"/>
            <w:vMerge w:val="restart"/>
          </w:tcPr>
          <w:p w:rsidR="0033683F" w:rsidRPr="0033683F" w:rsidRDefault="0033683F" w:rsidP="0033683F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3683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33683F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42-пг</w:t>
            </w:r>
          </w:p>
        </w:tc>
      </w:tr>
      <w:tr w:rsidR="0033683F" w:rsidRPr="0033683F" w:rsidTr="00F1021E">
        <w:trPr>
          <w:cantSplit/>
          <w:trHeight w:val="232"/>
        </w:trPr>
        <w:tc>
          <w:tcPr>
            <w:tcW w:w="3119" w:type="dxa"/>
          </w:tcPr>
          <w:p w:rsidR="0033683F" w:rsidRPr="0033683F" w:rsidRDefault="0033683F" w:rsidP="0033683F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33683F" w:rsidRPr="0033683F" w:rsidRDefault="0033683F" w:rsidP="0033683F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33683F" w:rsidRPr="0033683F" w:rsidRDefault="0033683F" w:rsidP="0033683F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33683F" w:rsidRPr="0033683F" w:rsidRDefault="0033683F" w:rsidP="0033683F">
      <w:pPr>
        <w:jc w:val="center"/>
        <w:rPr>
          <w:rFonts w:eastAsiaTheme="minorHAnsi"/>
          <w:sz w:val="22"/>
          <w:szCs w:val="22"/>
          <w:lang w:eastAsia="en-US"/>
        </w:rPr>
      </w:pPr>
      <w:r w:rsidRPr="0033683F">
        <w:rPr>
          <w:rFonts w:eastAsiaTheme="minorHAnsi"/>
          <w:sz w:val="22"/>
          <w:szCs w:val="22"/>
          <w:lang w:eastAsia="en-US"/>
        </w:rPr>
        <w:t>г.Нефтеюганск</w:t>
      </w:r>
    </w:p>
    <w:p w:rsidR="0033683F" w:rsidRPr="0033683F" w:rsidRDefault="0033683F" w:rsidP="0033683F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ED31E5">
        <w:rPr>
          <w:bCs/>
          <w:sz w:val="26"/>
          <w:szCs w:val="26"/>
        </w:rPr>
        <w:t>Кляченкова Владимира Викторовича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ED31E5">
        <w:rPr>
          <w:bCs/>
          <w:sz w:val="26"/>
          <w:szCs w:val="26"/>
        </w:rPr>
        <w:t>20</w:t>
      </w:r>
      <w:r w:rsidR="00AF1333">
        <w:rPr>
          <w:bCs/>
          <w:sz w:val="26"/>
          <w:szCs w:val="26"/>
        </w:rPr>
        <w:t>.03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ED31E5">
        <w:rPr>
          <w:bCs/>
          <w:sz w:val="26"/>
          <w:szCs w:val="26"/>
        </w:rPr>
        <w:t>Гудим</w:t>
      </w:r>
      <w:r w:rsidR="003B6598">
        <w:rPr>
          <w:bCs/>
          <w:sz w:val="26"/>
          <w:szCs w:val="26"/>
        </w:rPr>
        <w:t>а</w:t>
      </w:r>
      <w:r w:rsidR="00ED31E5">
        <w:rPr>
          <w:bCs/>
          <w:sz w:val="26"/>
          <w:szCs w:val="26"/>
        </w:rPr>
        <w:t xml:space="preserve"> Ивана Владимировича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ED31E5">
        <w:rPr>
          <w:bCs/>
          <w:sz w:val="26"/>
          <w:szCs w:val="26"/>
        </w:rPr>
        <w:t>21</w:t>
      </w:r>
      <w:r w:rsidR="00520E58">
        <w:rPr>
          <w:bCs/>
          <w:sz w:val="26"/>
          <w:szCs w:val="26"/>
        </w:rPr>
        <w:t>.03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ED31E5">
        <w:rPr>
          <w:bCs/>
          <w:sz w:val="26"/>
          <w:szCs w:val="26"/>
        </w:rPr>
        <w:t>Титова Андрея Геннадьевича</w:t>
      </w:r>
      <w:r w:rsidR="00E95D29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ED31E5">
        <w:rPr>
          <w:bCs/>
          <w:sz w:val="26"/>
          <w:szCs w:val="26"/>
        </w:rPr>
        <w:t>21</w:t>
      </w:r>
      <w:r w:rsidR="00520E58">
        <w:rPr>
          <w:bCs/>
          <w:sz w:val="26"/>
          <w:szCs w:val="26"/>
        </w:rPr>
        <w:t>.03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ED31E5">
        <w:rPr>
          <w:bCs/>
          <w:sz w:val="26"/>
          <w:szCs w:val="26"/>
        </w:rPr>
        <w:t>Цыперик Надежды Алексеевны (заявление от 21</w:t>
      </w:r>
      <w:r w:rsidR="00520E58">
        <w:rPr>
          <w:bCs/>
          <w:sz w:val="26"/>
          <w:szCs w:val="26"/>
        </w:rPr>
        <w:t>.03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r w:rsidR="00ED31E5">
        <w:rPr>
          <w:bCs/>
          <w:sz w:val="26"/>
          <w:szCs w:val="26"/>
        </w:rPr>
        <w:t>Чудиновой Галины Владимировны</w:t>
      </w:r>
      <w:r w:rsidR="00580DD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</w:t>
      </w:r>
      <w:r w:rsidR="00A80CB2">
        <w:rPr>
          <w:bCs/>
          <w:sz w:val="26"/>
          <w:szCs w:val="26"/>
        </w:rPr>
        <w:br/>
      </w:r>
      <w:r w:rsidR="00E95D29">
        <w:rPr>
          <w:bCs/>
          <w:sz w:val="26"/>
          <w:szCs w:val="26"/>
        </w:rPr>
        <w:t xml:space="preserve">от </w:t>
      </w:r>
      <w:r w:rsidR="00ED31E5">
        <w:rPr>
          <w:bCs/>
          <w:sz w:val="26"/>
          <w:szCs w:val="26"/>
        </w:rPr>
        <w:t>23</w:t>
      </w:r>
      <w:r w:rsidR="003D44B2">
        <w:rPr>
          <w:bCs/>
          <w:sz w:val="26"/>
          <w:szCs w:val="26"/>
        </w:rPr>
        <w:t>.</w:t>
      </w:r>
      <w:r w:rsidR="00F072B6">
        <w:rPr>
          <w:bCs/>
          <w:sz w:val="26"/>
          <w:szCs w:val="26"/>
        </w:rPr>
        <w:t>0</w:t>
      </w:r>
      <w:r w:rsidR="003D44B2">
        <w:rPr>
          <w:bCs/>
          <w:sz w:val="26"/>
          <w:szCs w:val="26"/>
        </w:rPr>
        <w:t>3</w:t>
      </w:r>
      <w:r w:rsidR="00F072B6">
        <w:rPr>
          <w:bCs/>
          <w:sz w:val="26"/>
          <w:szCs w:val="26"/>
        </w:rPr>
        <w:t>.2019)</w:t>
      </w:r>
      <w:r w:rsidR="00444720">
        <w:rPr>
          <w:bCs/>
          <w:sz w:val="26"/>
          <w:szCs w:val="26"/>
        </w:rPr>
        <w:t xml:space="preserve">, </w:t>
      </w:r>
      <w:r w:rsidR="00ED31E5">
        <w:rPr>
          <w:bCs/>
          <w:sz w:val="26"/>
          <w:szCs w:val="26"/>
        </w:rPr>
        <w:t>Шестаковой Ольги Борисовны</w:t>
      </w:r>
      <w:r w:rsidR="00444720">
        <w:rPr>
          <w:bCs/>
          <w:sz w:val="26"/>
          <w:szCs w:val="26"/>
        </w:rPr>
        <w:t xml:space="preserve"> </w:t>
      </w:r>
      <w:r w:rsidR="00444720" w:rsidRPr="004D6B85">
        <w:rPr>
          <w:bCs/>
          <w:sz w:val="26"/>
          <w:szCs w:val="26"/>
        </w:rPr>
        <w:t xml:space="preserve">(заявление от </w:t>
      </w:r>
      <w:r w:rsidR="00ED31E5">
        <w:rPr>
          <w:bCs/>
          <w:sz w:val="26"/>
          <w:szCs w:val="26"/>
        </w:rPr>
        <w:t>22</w:t>
      </w:r>
      <w:r w:rsidR="00444720">
        <w:rPr>
          <w:bCs/>
          <w:sz w:val="26"/>
          <w:szCs w:val="26"/>
        </w:rPr>
        <w:t>.03</w:t>
      </w:r>
      <w:r w:rsidR="00444720" w:rsidRPr="004D6B85">
        <w:rPr>
          <w:bCs/>
          <w:sz w:val="26"/>
          <w:szCs w:val="26"/>
        </w:rPr>
        <w:t>.2019)</w:t>
      </w:r>
      <w:r w:rsidR="00444720">
        <w:rPr>
          <w:bCs/>
          <w:sz w:val="26"/>
          <w:szCs w:val="26"/>
        </w:rPr>
        <w:t xml:space="preserve">, </w:t>
      </w:r>
      <w:r w:rsidR="00ED31E5">
        <w:rPr>
          <w:bCs/>
          <w:sz w:val="26"/>
          <w:szCs w:val="26"/>
        </w:rPr>
        <w:t>Назмутдиновой Люции</w:t>
      </w:r>
      <w:r w:rsidR="00444720">
        <w:rPr>
          <w:bCs/>
          <w:sz w:val="26"/>
          <w:szCs w:val="26"/>
        </w:rPr>
        <w:t xml:space="preserve"> (заявление от </w:t>
      </w:r>
      <w:r w:rsidR="00DF402D">
        <w:rPr>
          <w:bCs/>
          <w:sz w:val="26"/>
          <w:szCs w:val="26"/>
        </w:rPr>
        <w:t>2</w:t>
      </w:r>
      <w:r w:rsidR="00ED31E5">
        <w:rPr>
          <w:bCs/>
          <w:sz w:val="26"/>
          <w:szCs w:val="26"/>
        </w:rPr>
        <w:t>3</w:t>
      </w:r>
      <w:r w:rsidR="00444720">
        <w:rPr>
          <w:bCs/>
          <w:sz w:val="26"/>
          <w:szCs w:val="26"/>
        </w:rPr>
        <w:t xml:space="preserve">.03.2019), </w:t>
      </w:r>
      <w:r w:rsidR="00ED31E5">
        <w:rPr>
          <w:bCs/>
          <w:sz w:val="26"/>
          <w:szCs w:val="26"/>
        </w:rPr>
        <w:t>Мамонтовой Галины Владимировны (заявление от 22</w:t>
      </w:r>
      <w:r w:rsidR="00444720">
        <w:rPr>
          <w:bCs/>
          <w:sz w:val="26"/>
          <w:szCs w:val="26"/>
        </w:rPr>
        <w:t>.03.2019)</w:t>
      </w:r>
      <w:r w:rsidR="00DF402D">
        <w:rPr>
          <w:bCs/>
          <w:sz w:val="26"/>
          <w:szCs w:val="26"/>
        </w:rPr>
        <w:t xml:space="preserve">, </w:t>
      </w:r>
      <w:r w:rsidR="00ED31E5">
        <w:rPr>
          <w:bCs/>
          <w:sz w:val="26"/>
          <w:szCs w:val="26"/>
        </w:rPr>
        <w:t>Собянина Евгения Викторовича (заявление от 22</w:t>
      </w:r>
      <w:r w:rsidR="00DF402D">
        <w:rPr>
          <w:bCs/>
          <w:sz w:val="26"/>
          <w:szCs w:val="26"/>
        </w:rPr>
        <w:t>.03.2019)</w:t>
      </w:r>
      <w:r w:rsidR="003154AF">
        <w:rPr>
          <w:bCs/>
          <w:sz w:val="26"/>
          <w:szCs w:val="26"/>
        </w:rPr>
        <w:t>, Лизунова Сергея Руслановича (заявление от 22.03.2019), Базаровой Натальи Анатольевны (заявление от 23.03.2019)</w:t>
      </w:r>
      <w:r w:rsidR="00DF402D">
        <w:rPr>
          <w:bCs/>
          <w:sz w:val="26"/>
          <w:szCs w:val="26"/>
        </w:rPr>
        <w:t xml:space="preserve"> </w:t>
      </w:r>
      <w:r w:rsidR="003D44B2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A80CB2" w:rsidRPr="004D6B85" w:rsidRDefault="00A80CB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A80CB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4D6B85">
        <w:rPr>
          <w:color w:val="FF0000"/>
          <w:sz w:val="26"/>
          <w:szCs w:val="26"/>
        </w:rPr>
        <w:t xml:space="preserve"> </w:t>
      </w:r>
      <w:r w:rsidR="0042401A" w:rsidRPr="004D6B85">
        <w:rPr>
          <w:color w:val="FF0000"/>
          <w:sz w:val="26"/>
          <w:szCs w:val="26"/>
        </w:rPr>
        <w:br/>
      </w:r>
      <w:r w:rsidRPr="004D6B85">
        <w:rPr>
          <w:sz w:val="26"/>
          <w:szCs w:val="26"/>
        </w:rPr>
        <w:t xml:space="preserve">(далее </w:t>
      </w:r>
      <w:r w:rsidR="0042401A" w:rsidRPr="004D6B85">
        <w:rPr>
          <w:sz w:val="26"/>
          <w:szCs w:val="26"/>
        </w:rPr>
        <w:t>–</w:t>
      </w:r>
      <w:r w:rsidRPr="004D6B85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401A" w:rsidRPr="004D6B85">
        <w:rPr>
          <w:sz w:val="26"/>
          <w:szCs w:val="26"/>
        </w:rPr>
        <w:br/>
      </w:r>
      <w:r w:rsidRPr="004D6B85">
        <w:rPr>
          <w:sz w:val="26"/>
          <w:szCs w:val="26"/>
        </w:rPr>
        <w:t>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3154AF">
        <w:rPr>
          <w:sz w:val="26"/>
          <w:szCs w:val="26"/>
        </w:rPr>
        <w:t>13844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DF402D">
        <w:rPr>
          <w:sz w:val="26"/>
          <w:szCs w:val="26"/>
        </w:rPr>
        <w:t>4</w:t>
      </w:r>
      <w:r w:rsidR="003154AF">
        <w:rPr>
          <w:sz w:val="26"/>
          <w:szCs w:val="26"/>
        </w:rPr>
        <w:t>64</w:t>
      </w:r>
      <w:r w:rsidR="00447888" w:rsidRPr="004D6B85">
        <w:rPr>
          <w:sz w:val="26"/>
          <w:szCs w:val="26"/>
        </w:rPr>
        <w:t xml:space="preserve"> кв.м,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DF402D">
        <w:rPr>
          <w:color w:val="000000"/>
          <w:sz w:val="26"/>
          <w:szCs w:val="26"/>
        </w:rPr>
        <w:t>за пределами</w:t>
      </w:r>
      <w:r w:rsidR="00520E58">
        <w:rPr>
          <w:color w:val="000000"/>
          <w:sz w:val="26"/>
          <w:szCs w:val="26"/>
        </w:rPr>
        <w:t xml:space="preserve"> 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DF402D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DF402D">
        <w:rPr>
          <w:sz w:val="26"/>
          <w:szCs w:val="26"/>
        </w:rPr>
        <w:t xml:space="preserve">«Северный», участок № </w:t>
      </w:r>
      <w:r w:rsidR="003154AF">
        <w:rPr>
          <w:sz w:val="26"/>
          <w:szCs w:val="26"/>
        </w:rPr>
        <w:t>1352</w:t>
      </w:r>
      <w:r w:rsidR="00203DC6">
        <w:rPr>
          <w:sz w:val="26"/>
          <w:szCs w:val="26"/>
        </w:rPr>
        <w:t>.</w:t>
      </w:r>
    </w:p>
    <w:p w:rsidR="003C3D26" w:rsidRPr="00154595" w:rsidRDefault="00E001D3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072B6">
        <w:rPr>
          <w:color w:val="000000"/>
          <w:sz w:val="26"/>
          <w:szCs w:val="26"/>
        </w:rPr>
        <w:t>0020801:</w:t>
      </w:r>
      <w:r w:rsidR="00203DC6">
        <w:rPr>
          <w:color w:val="000000"/>
          <w:sz w:val="26"/>
          <w:szCs w:val="26"/>
        </w:rPr>
        <w:t>1</w:t>
      </w:r>
      <w:r w:rsidR="003154AF">
        <w:rPr>
          <w:color w:val="000000"/>
          <w:sz w:val="26"/>
          <w:szCs w:val="26"/>
        </w:rPr>
        <w:t>5901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DF402D">
        <w:rPr>
          <w:color w:val="000000"/>
          <w:sz w:val="26"/>
          <w:szCs w:val="26"/>
        </w:rPr>
        <w:t>5</w:t>
      </w:r>
      <w:r w:rsidR="003154AF">
        <w:rPr>
          <w:color w:val="000000"/>
          <w:sz w:val="26"/>
          <w:szCs w:val="26"/>
        </w:rPr>
        <w:t>76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автономный округ </w:t>
      </w:r>
      <w:r w:rsidR="007F0966">
        <w:rPr>
          <w:color w:val="000000"/>
          <w:sz w:val="26"/>
          <w:szCs w:val="26"/>
        </w:rPr>
        <w:t>–</w:t>
      </w:r>
      <w:r w:rsidR="00F072B6">
        <w:rPr>
          <w:color w:val="000000"/>
          <w:sz w:val="26"/>
          <w:szCs w:val="26"/>
        </w:rPr>
        <w:t xml:space="preserve"> 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520E58">
        <w:rPr>
          <w:color w:val="000000"/>
          <w:sz w:val="26"/>
          <w:szCs w:val="26"/>
        </w:rPr>
        <w:t xml:space="preserve"> </w:t>
      </w:r>
      <w:r w:rsidR="007F0966">
        <w:rPr>
          <w:color w:val="000000"/>
          <w:sz w:val="26"/>
          <w:szCs w:val="26"/>
        </w:rPr>
        <w:br/>
      </w:r>
      <w:r w:rsidR="003D44B2">
        <w:rPr>
          <w:color w:val="000000"/>
          <w:sz w:val="26"/>
          <w:szCs w:val="26"/>
        </w:rPr>
        <w:t>СНТ</w:t>
      </w:r>
      <w:r w:rsidR="00E95D29">
        <w:rPr>
          <w:color w:val="000000"/>
          <w:sz w:val="26"/>
          <w:szCs w:val="26"/>
        </w:rPr>
        <w:t xml:space="preserve"> «</w:t>
      </w:r>
      <w:r w:rsidR="00DF402D">
        <w:rPr>
          <w:color w:val="000000"/>
          <w:sz w:val="26"/>
          <w:szCs w:val="26"/>
        </w:rPr>
        <w:t xml:space="preserve">Северный», участок № </w:t>
      </w:r>
      <w:r w:rsidR="003154AF">
        <w:rPr>
          <w:color w:val="000000"/>
          <w:sz w:val="26"/>
          <w:szCs w:val="26"/>
        </w:rPr>
        <w:t>1655</w:t>
      </w:r>
      <w:r w:rsidR="00E95D29">
        <w:rPr>
          <w:color w:val="000000"/>
          <w:sz w:val="26"/>
          <w:szCs w:val="26"/>
        </w:rPr>
        <w:t>.</w:t>
      </w:r>
    </w:p>
    <w:p w:rsidR="003C3D26" w:rsidRDefault="00203DC6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154AF">
        <w:rPr>
          <w:color w:val="000000"/>
          <w:sz w:val="26"/>
          <w:szCs w:val="26"/>
        </w:rPr>
        <w:t>9095</w:t>
      </w:r>
      <w:r w:rsidR="007F0966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3154AF">
        <w:rPr>
          <w:color w:val="000000"/>
          <w:sz w:val="26"/>
          <w:szCs w:val="26"/>
        </w:rPr>
        <w:t>1405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3154AF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D658A"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3154AF">
        <w:rPr>
          <w:color w:val="000000"/>
          <w:sz w:val="26"/>
          <w:szCs w:val="26"/>
        </w:rPr>
        <w:t xml:space="preserve">р-н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C57F32">
        <w:rPr>
          <w:color w:val="000000"/>
          <w:sz w:val="26"/>
          <w:szCs w:val="26"/>
        </w:rPr>
        <w:t xml:space="preserve">, </w:t>
      </w:r>
      <w:r w:rsidR="003154AF">
        <w:rPr>
          <w:color w:val="000000"/>
          <w:sz w:val="26"/>
          <w:szCs w:val="26"/>
        </w:rPr>
        <w:t xml:space="preserve">в районе п.Сингапай, на берегу протоки Чеускинской, </w:t>
      </w:r>
      <w:r w:rsidR="007D093F">
        <w:rPr>
          <w:color w:val="000000"/>
          <w:sz w:val="26"/>
          <w:szCs w:val="26"/>
        </w:rPr>
        <w:br/>
      </w:r>
      <w:r w:rsidR="003154AF">
        <w:rPr>
          <w:color w:val="000000"/>
          <w:sz w:val="26"/>
          <w:szCs w:val="26"/>
        </w:rPr>
        <w:t>СНТ «Механизатор», участок № 12</w:t>
      </w:r>
      <w:r w:rsidR="00C57F32">
        <w:rPr>
          <w:color w:val="000000"/>
          <w:sz w:val="26"/>
          <w:szCs w:val="26"/>
        </w:rPr>
        <w:t>.</w:t>
      </w:r>
    </w:p>
    <w:p w:rsidR="000706B4" w:rsidRDefault="000706B4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154AF">
        <w:rPr>
          <w:color w:val="000000"/>
          <w:sz w:val="26"/>
          <w:szCs w:val="26"/>
        </w:rPr>
        <w:t>14082</w:t>
      </w:r>
      <w:r w:rsidR="007F096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3154AF">
        <w:rPr>
          <w:color w:val="000000"/>
          <w:sz w:val="26"/>
          <w:szCs w:val="26"/>
        </w:rPr>
        <w:t>978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474B26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474B26" w:rsidRPr="004D6B85">
        <w:rPr>
          <w:color w:val="000000"/>
          <w:sz w:val="26"/>
          <w:szCs w:val="26"/>
        </w:rPr>
        <w:t xml:space="preserve"> </w:t>
      </w:r>
      <w:r w:rsidR="003D44B2" w:rsidRPr="003D44B2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7D093F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C57F32">
        <w:rPr>
          <w:color w:val="000000"/>
          <w:sz w:val="26"/>
          <w:szCs w:val="26"/>
        </w:rPr>
        <w:t xml:space="preserve">СНТ «Северный», участок № </w:t>
      </w:r>
      <w:r w:rsidR="003154AF">
        <w:rPr>
          <w:color w:val="000000"/>
          <w:sz w:val="26"/>
          <w:szCs w:val="26"/>
        </w:rPr>
        <w:t>231</w:t>
      </w:r>
      <w:r w:rsidR="00474B26">
        <w:rPr>
          <w:color w:val="000000"/>
          <w:sz w:val="26"/>
          <w:szCs w:val="26"/>
        </w:rPr>
        <w:t>.</w:t>
      </w:r>
    </w:p>
    <w:p w:rsidR="00F072B6" w:rsidRDefault="00F072B6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3154AF">
        <w:rPr>
          <w:color w:val="000000"/>
          <w:sz w:val="26"/>
          <w:szCs w:val="26"/>
        </w:rPr>
        <w:t>0020801:16000</w:t>
      </w:r>
      <w:r w:rsidR="007F096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3154AF">
        <w:rPr>
          <w:color w:val="000000"/>
          <w:sz w:val="26"/>
          <w:szCs w:val="26"/>
        </w:rPr>
        <w:t>1102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7D093F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7D093F">
        <w:rPr>
          <w:color w:val="000000"/>
          <w:sz w:val="26"/>
          <w:szCs w:val="26"/>
        </w:rPr>
        <w:br/>
      </w:r>
      <w:r w:rsidR="00474B26">
        <w:rPr>
          <w:color w:val="000000"/>
          <w:sz w:val="26"/>
          <w:szCs w:val="26"/>
        </w:rPr>
        <w:t xml:space="preserve">СНТ «Северный», участок № </w:t>
      </w:r>
      <w:r w:rsidR="003154AF">
        <w:rPr>
          <w:color w:val="000000"/>
          <w:sz w:val="26"/>
          <w:szCs w:val="26"/>
        </w:rPr>
        <w:t>850</w:t>
      </w:r>
      <w:r w:rsidR="00365E75">
        <w:rPr>
          <w:color w:val="000000"/>
          <w:sz w:val="26"/>
          <w:szCs w:val="26"/>
        </w:rPr>
        <w:t>.</w:t>
      </w:r>
    </w:p>
    <w:p w:rsidR="00DF402D" w:rsidRPr="003D44B2" w:rsidRDefault="00DF402D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</w:t>
      </w:r>
      <w:r w:rsidR="003154AF">
        <w:rPr>
          <w:sz w:val="26"/>
          <w:szCs w:val="26"/>
        </w:rPr>
        <w:t>16037</w:t>
      </w:r>
      <w:r w:rsidRPr="004D6B85">
        <w:rPr>
          <w:sz w:val="26"/>
          <w:szCs w:val="26"/>
        </w:rPr>
        <w:t xml:space="preserve">, площадью </w:t>
      </w:r>
      <w:r w:rsidR="003154AF">
        <w:rPr>
          <w:sz w:val="26"/>
          <w:szCs w:val="26"/>
        </w:rPr>
        <w:t>1190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 w:rsidR="00C57F3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,</w:t>
      </w:r>
      <w:r w:rsidR="00C57F32">
        <w:rPr>
          <w:sz w:val="26"/>
          <w:szCs w:val="26"/>
        </w:rPr>
        <w:t xml:space="preserve"> </w:t>
      </w:r>
      <w:r w:rsidR="007D093F">
        <w:rPr>
          <w:sz w:val="26"/>
          <w:szCs w:val="26"/>
        </w:rPr>
        <w:br/>
      </w:r>
      <w:r w:rsidR="00C57F32">
        <w:rPr>
          <w:sz w:val="26"/>
          <w:szCs w:val="26"/>
        </w:rPr>
        <w:t>СНТ «</w:t>
      </w:r>
      <w:r w:rsidR="003154AF">
        <w:rPr>
          <w:sz w:val="26"/>
          <w:szCs w:val="26"/>
        </w:rPr>
        <w:t>Северный», участок № 1380</w:t>
      </w:r>
      <w:r w:rsidR="00C57F32">
        <w:rPr>
          <w:sz w:val="26"/>
          <w:szCs w:val="26"/>
        </w:rPr>
        <w:t>.</w:t>
      </w:r>
    </w:p>
    <w:p w:rsidR="00DF402D" w:rsidRPr="00154595" w:rsidRDefault="00DF402D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57F32">
        <w:rPr>
          <w:color w:val="000000"/>
          <w:sz w:val="26"/>
          <w:szCs w:val="26"/>
        </w:rPr>
        <w:t>0020</w:t>
      </w:r>
      <w:r w:rsidR="003154AF">
        <w:rPr>
          <w:color w:val="000000"/>
          <w:sz w:val="26"/>
          <w:szCs w:val="26"/>
        </w:rPr>
        <w:t>801:11317</w:t>
      </w:r>
      <w:r w:rsidRPr="004D6B85">
        <w:rPr>
          <w:color w:val="000000"/>
          <w:sz w:val="26"/>
          <w:szCs w:val="26"/>
        </w:rPr>
        <w:t xml:space="preserve">, площадью </w:t>
      </w:r>
      <w:r w:rsidR="003154AF">
        <w:rPr>
          <w:color w:val="000000"/>
          <w:sz w:val="26"/>
          <w:szCs w:val="26"/>
        </w:rPr>
        <w:t>446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3154AF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3154AF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80508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C57F32">
        <w:rPr>
          <w:color w:val="000000"/>
          <w:sz w:val="26"/>
          <w:szCs w:val="26"/>
        </w:rPr>
        <w:t>С</w:t>
      </w:r>
      <w:r w:rsidR="003154AF">
        <w:rPr>
          <w:color w:val="000000"/>
          <w:sz w:val="26"/>
          <w:szCs w:val="26"/>
        </w:rPr>
        <w:t>НТ</w:t>
      </w:r>
      <w:r>
        <w:rPr>
          <w:color w:val="000000"/>
          <w:sz w:val="26"/>
          <w:szCs w:val="26"/>
        </w:rPr>
        <w:t xml:space="preserve"> «</w:t>
      </w:r>
      <w:r w:rsidR="003154AF">
        <w:rPr>
          <w:color w:val="000000"/>
          <w:sz w:val="26"/>
          <w:szCs w:val="26"/>
        </w:rPr>
        <w:t>Северный</w:t>
      </w:r>
      <w:r w:rsidR="00C57F32">
        <w:rPr>
          <w:color w:val="000000"/>
          <w:sz w:val="26"/>
          <w:szCs w:val="26"/>
        </w:rPr>
        <w:t>», участок № 43</w:t>
      </w:r>
      <w:r w:rsidR="003154AF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</w:t>
      </w:r>
    </w:p>
    <w:p w:rsidR="00DF402D" w:rsidRDefault="00C57F32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154AF">
        <w:rPr>
          <w:color w:val="000000"/>
          <w:sz w:val="26"/>
          <w:szCs w:val="26"/>
        </w:rPr>
        <w:t>9628</w:t>
      </w:r>
      <w:r w:rsidR="007F0966">
        <w:rPr>
          <w:color w:val="000000"/>
          <w:sz w:val="26"/>
          <w:szCs w:val="26"/>
        </w:rPr>
        <w:t>,</w:t>
      </w:r>
      <w:r w:rsidR="00DF402D" w:rsidRPr="004D6B85">
        <w:rPr>
          <w:color w:val="000000"/>
          <w:sz w:val="26"/>
          <w:szCs w:val="26"/>
        </w:rPr>
        <w:t xml:space="preserve"> площадью </w:t>
      </w:r>
      <w:r w:rsidR="003154AF">
        <w:rPr>
          <w:color w:val="000000"/>
          <w:sz w:val="26"/>
          <w:szCs w:val="26"/>
        </w:rPr>
        <w:t>1445</w:t>
      </w:r>
      <w:r w:rsidR="00DF402D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3154AF"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</w:t>
      </w:r>
      <w:r w:rsidR="00FA5EE3">
        <w:rPr>
          <w:color w:val="000000"/>
          <w:sz w:val="26"/>
          <w:szCs w:val="26"/>
        </w:rPr>
        <w:t xml:space="preserve">стка. Почтовый адрес ориентира: </w:t>
      </w:r>
      <w:r w:rsidR="00DF402D">
        <w:rPr>
          <w:color w:val="000000"/>
          <w:sz w:val="26"/>
          <w:szCs w:val="26"/>
        </w:rPr>
        <w:t>Ханты-Мансийский автономный округ</w:t>
      </w:r>
      <w:r w:rsidR="00DF402D" w:rsidRPr="004D6B85">
        <w:rPr>
          <w:color w:val="000000"/>
          <w:sz w:val="26"/>
          <w:szCs w:val="26"/>
        </w:rPr>
        <w:t xml:space="preserve"> </w:t>
      </w:r>
      <w:r w:rsidR="00DF402D">
        <w:rPr>
          <w:color w:val="000000"/>
          <w:sz w:val="26"/>
          <w:szCs w:val="26"/>
        </w:rPr>
        <w:t xml:space="preserve">– Югра, </w:t>
      </w:r>
      <w:r w:rsidR="003154AF">
        <w:rPr>
          <w:color w:val="000000"/>
          <w:sz w:val="26"/>
          <w:szCs w:val="26"/>
        </w:rPr>
        <w:t xml:space="preserve">р-н </w:t>
      </w:r>
      <w:r w:rsidR="00DF402D" w:rsidRPr="004D6B85">
        <w:rPr>
          <w:color w:val="000000"/>
          <w:sz w:val="26"/>
          <w:szCs w:val="26"/>
        </w:rPr>
        <w:t>Нефтеюг</w:t>
      </w:r>
      <w:r w:rsidR="003154AF">
        <w:rPr>
          <w:color w:val="000000"/>
          <w:sz w:val="26"/>
          <w:szCs w:val="26"/>
        </w:rPr>
        <w:t>анский</w:t>
      </w:r>
      <w:r w:rsidR="00DF402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</w:t>
      </w:r>
      <w:r w:rsidR="003154AF">
        <w:rPr>
          <w:color w:val="000000"/>
          <w:sz w:val="26"/>
          <w:szCs w:val="26"/>
        </w:rPr>
        <w:t>Энергетик</w:t>
      </w:r>
      <w:r>
        <w:rPr>
          <w:color w:val="000000"/>
          <w:sz w:val="26"/>
          <w:szCs w:val="26"/>
        </w:rPr>
        <w:t xml:space="preserve">», </w:t>
      </w:r>
      <w:r w:rsidR="003154AF">
        <w:rPr>
          <w:color w:val="000000"/>
          <w:sz w:val="26"/>
          <w:szCs w:val="26"/>
        </w:rPr>
        <w:t>уч 327-а</w:t>
      </w:r>
      <w:r>
        <w:rPr>
          <w:color w:val="000000"/>
          <w:sz w:val="26"/>
          <w:szCs w:val="26"/>
        </w:rPr>
        <w:t>.</w:t>
      </w:r>
    </w:p>
    <w:p w:rsidR="00DF402D" w:rsidRDefault="00DF402D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FA5EE3">
        <w:rPr>
          <w:color w:val="000000"/>
          <w:sz w:val="26"/>
          <w:szCs w:val="26"/>
        </w:rPr>
        <w:t>12089</w:t>
      </w:r>
      <w:r w:rsidR="007F096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FA5EE3">
        <w:rPr>
          <w:color w:val="000000"/>
          <w:sz w:val="26"/>
          <w:szCs w:val="26"/>
        </w:rPr>
        <w:t>590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FA5EE3" w:rsidRPr="00FA5EE3">
        <w:rPr>
          <w:color w:val="000000"/>
          <w:sz w:val="26"/>
          <w:szCs w:val="26"/>
        </w:rPr>
        <w:t xml:space="preserve"> </w:t>
      </w:r>
      <w:r w:rsidR="00FA5EE3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805081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>,</w:t>
      </w:r>
      <w:r w:rsidR="00C57F32">
        <w:rPr>
          <w:color w:val="000000"/>
          <w:sz w:val="26"/>
          <w:szCs w:val="26"/>
        </w:rPr>
        <w:t xml:space="preserve"> </w:t>
      </w:r>
      <w:r w:rsidR="00FA5EE3">
        <w:rPr>
          <w:color w:val="000000"/>
          <w:sz w:val="26"/>
          <w:szCs w:val="26"/>
        </w:rPr>
        <w:t>в районе куста 24 Усть-Балыкского месторождения нефти</w:t>
      </w:r>
      <w:r w:rsidR="00C57F32"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 xml:space="preserve"> </w:t>
      </w:r>
      <w:r w:rsidR="00C57F32">
        <w:rPr>
          <w:color w:val="000000"/>
          <w:sz w:val="26"/>
          <w:szCs w:val="26"/>
        </w:rPr>
        <w:t>СНТ «</w:t>
      </w:r>
      <w:r w:rsidR="00FA5EE3">
        <w:rPr>
          <w:color w:val="000000"/>
          <w:sz w:val="26"/>
          <w:szCs w:val="26"/>
        </w:rPr>
        <w:t>Заря</w:t>
      </w:r>
      <w:r>
        <w:rPr>
          <w:color w:val="000000"/>
          <w:sz w:val="26"/>
          <w:szCs w:val="26"/>
        </w:rPr>
        <w:t xml:space="preserve">», </w:t>
      </w:r>
      <w:r w:rsidR="00FA5EE3">
        <w:rPr>
          <w:color w:val="000000"/>
          <w:sz w:val="26"/>
          <w:szCs w:val="26"/>
        </w:rPr>
        <w:t>участок № 75</w:t>
      </w:r>
      <w:r>
        <w:rPr>
          <w:color w:val="000000"/>
          <w:sz w:val="26"/>
          <w:szCs w:val="26"/>
        </w:rPr>
        <w:t>.</w:t>
      </w:r>
    </w:p>
    <w:p w:rsidR="00DF402D" w:rsidRDefault="00DF402D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A5EE3">
        <w:rPr>
          <w:color w:val="000000"/>
          <w:sz w:val="26"/>
          <w:szCs w:val="26"/>
        </w:rPr>
        <w:t>0020903:4997</w:t>
      </w:r>
      <w:r w:rsidR="007F096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C57F32">
        <w:rPr>
          <w:color w:val="000000"/>
          <w:sz w:val="26"/>
          <w:szCs w:val="26"/>
        </w:rPr>
        <w:t>1</w:t>
      </w:r>
      <w:r w:rsidR="00FA5EE3">
        <w:rPr>
          <w:color w:val="000000"/>
          <w:sz w:val="26"/>
          <w:szCs w:val="26"/>
        </w:rPr>
        <w:t>204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805081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805081">
        <w:rPr>
          <w:color w:val="000000"/>
          <w:sz w:val="26"/>
          <w:szCs w:val="26"/>
        </w:rPr>
        <w:t>с</w:t>
      </w:r>
      <w:r w:rsidR="00FA5EE3">
        <w:rPr>
          <w:color w:val="000000"/>
          <w:sz w:val="26"/>
          <w:szCs w:val="26"/>
        </w:rPr>
        <w:t>адоводческое ТСН «Курья», участок № 64.</w:t>
      </w:r>
    </w:p>
    <w:p w:rsidR="003154AF" w:rsidRPr="00C57F32" w:rsidRDefault="003154AF" w:rsidP="00A80CB2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A5EE3">
        <w:rPr>
          <w:color w:val="000000"/>
          <w:sz w:val="26"/>
          <w:szCs w:val="26"/>
        </w:rPr>
        <w:t>0020801:14507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FA5EE3">
        <w:rPr>
          <w:color w:val="000000"/>
          <w:sz w:val="26"/>
          <w:szCs w:val="26"/>
        </w:rPr>
        <w:t>605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805081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 w:rsidR="00805081">
        <w:rPr>
          <w:color w:val="000000"/>
          <w:sz w:val="26"/>
          <w:szCs w:val="26"/>
        </w:rPr>
        <w:br/>
      </w:r>
      <w:r w:rsidR="00FA5EE3">
        <w:rPr>
          <w:color w:val="000000"/>
          <w:sz w:val="26"/>
          <w:szCs w:val="26"/>
        </w:rPr>
        <w:t>ТСН «Прогресс», участок № 116.</w:t>
      </w:r>
    </w:p>
    <w:p w:rsidR="00447888" w:rsidRPr="00A42164" w:rsidRDefault="00447888" w:rsidP="00A80CB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FA5EE3">
        <w:rPr>
          <w:sz w:val="26"/>
          <w:szCs w:val="26"/>
        </w:rPr>
        <w:t>04.04</w:t>
      </w:r>
      <w:r w:rsidR="00124A63">
        <w:rPr>
          <w:sz w:val="26"/>
          <w:szCs w:val="26"/>
        </w:rPr>
        <w:t xml:space="preserve">.2019 по </w:t>
      </w:r>
      <w:r w:rsidR="00A5170F">
        <w:rPr>
          <w:sz w:val="26"/>
          <w:szCs w:val="26"/>
        </w:rPr>
        <w:t>19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A80CB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C57F32">
        <w:rPr>
          <w:sz w:val="26"/>
          <w:szCs w:val="26"/>
        </w:rPr>
        <w:t>1</w:t>
      </w:r>
      <w:r w:rsidR="00FA5EE3">
        <w:rPr>
          <w:sz w:val="26"/>
          <w:szCs w:val="26"/>
        </w:rPr>
        <w:t>5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A80CB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A80CB2" w:rsidP="00A80CB2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0CB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80CB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80CB2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A80CB2" w:rsidRPr="000C331B" w:rsidRDefault="00A80CB2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A80CB2" w:rsidRPr="000C331B" w:rsidRDefault="00A80CB2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A5170F" w:rsidRDefault="00A5170F" w:rsidP="00C57F32">
      <w:pPr>
        <w:jc w:val="both"/>
        <w:rPr>
          <w:sz w:val="26"/>
          <w:szCs w:val="26"/>
        </w:rPr>
      </w:pPr>
    </w:p>
    <w:p w:rsidR="00E001D3" w:rsidRDefault="00E001D3" w:rsidP="006C7A60">
      <w:pPr>
        <w:rPr>
          <w:sz w:val="26"/>
          <w:szCs w:val="26"/>
        </w:rPr>
      </w:pPr>
    </w:p>
    <w:p w:rsidR="00E001D3" w:rsidRDefault="00E001D3" w:rsidP="006C7A60">
      <w:pPr>
        <w:rPr>
          <w:sz w:val="26"/>
          <w:szCs w:val="26"/>
        </w:rPr>
      </w:pPr>
    </w:p>
    <w:p w:rsidR="003D44B2" w:rsidRDefault="003D44B2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310605" w:rsidRDefault="00310605" w:rsidP="006C7A60">
      <w:pPr>
        <w:rPr>
          <w:sz w:val="26"/>
          <w:szCs w:val="26"/>
        </w:rPr>
      </w:pPr>
    </w:p>
    <w:p w:rsidR="00E92B68" w:rsidRDefault="00E92B68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33683F">
        <w:rPr>
          <w:sz w:val="26"/>
          <w:szCs w:val="26"/>
        </w:rPr>
        <w:t>28.03.2019 № 42-пг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FA5EE3">
        <w:rPr>
          <w:bCs/>
          <w:sz w:val="26"/>
          <w:szCs w:val="26"/>
        </w:rPr>
        <w:t>Кляченкова Владимира Викторовича, Гудим</w:t>
      </w:r>
      <w:r w:rsidR="003B6598">
        <w:rPr>
          <w:bCs/>
          <w:sz w:val="26"/>
          <w:szCs w:val="26"/>
        </w:rPr>
        <w:t>а</w:t>
      </w:r>
      <w:r w:rsidR="00FA5EE3">
        <w:rPr>
          <w:bCs/>
          <w:sz w:val="26"/>
          <w:szCs w:val="26"/>
        </w:rPr>
        <w:t xml:space="preserve"> Ивана Владимировича, Титова Андрея Геннадьевича, Цыперик Надежды Алексеевны, Чудиновой Галины Владимировны, Шестаковой Ольги Борисовны, Назмутдиновой Люции, Мамонтовой Галины Владимировны, Собянина Евгения Викторовича, Лизунова Сергея Руслановича, Базаровой Натальи Анатольевны </w:t>
      </w:r>
      <w:r w:rsidR="00A679E3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2C062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FA5EE3" w:rsidRPr="003D44B2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0020801:13844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464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«Северный», участок № 1352.</w:t>
      </w:r>
    </w:p>
    <w:p w:rsidR="00FA5EE3" w:rsidRPr="00154595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86:08:0020801:15901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576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080283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08028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1655.</w:t>
      </w:r>
    </w:p>
    <w:p w:rsidR="00FA5EE3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86:08:0020801:9095</w:t>
      </w:r>
      <w:r w:rsidR="00080283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1405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р-н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анский, в районе п.Сингапай, на берегу протоки Чеускинской, </w:t>
      </w:r>
      <w:r w:rsidR="0008028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«Механизатор», участок № 12.</w:t>
      </w:r>
    </w:p>
    <w:p w:rsidR="00FA5EE3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86:08:0020801:14082</w:t>
      </w:r>
      <w:r w:rsidR="00080283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978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 w:rsidRPr="003D44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080283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231.</w:t>
      </w:r>
    </w:p>
    <w:p w:rsidR="00FA5EE3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86:08:0020801:16000</w:t>
      </w:r>
      <w:r w:rsidR="00080283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1102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080283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 w:rsidR="0008028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850.</w:t>
      </w:r>
    </w:p>
    <w:p w:rsidR="00FA5EE3" w:rsidRPr="003D44B2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0020801:16037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1190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</w:t>
      </w:r>
      <w:r w:rsidR="00080283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1380.</w:t>
      </w:r>
    </w:p>
    <w:p w:rsidR="00FA5EE3" w:rsidRPr="00154595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86:08:0020801:11317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446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1152A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437.</w:t>
      </w:r>
    </w:p>
    <w:p w:rsidR="00FA5EE3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86:08:0020801:9628</w:t>
      </w:r>
      <w:r w:rsidR="001152A7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1445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р-н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анский, СНТ «Энергетик», уч 327-а.</w:t>
      </w:r>
    </w:p>
    <w:p w:rsidR="00FA5EE3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86:08:0020801:12089</w:t>
      </w:r>
      <w:r w:rsidR="001152A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590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FA5E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DA708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районе куста 24 Усть-Балыкского месторождения нефти, </w:t>
      </w:r>
      <w:r w:rsidRPr="00E001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СНТ «Заря», участок № 75.</w:t>
      </w:r>
    </w:p>
    <w:p w:rsidR="00FA5EE3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86:08:0020903:4997</w:t>
      </w:r>
      <w:r w:rsidR="001152A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1204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DA708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 w:rsidR="00DA7086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адоводческое ТСН «Курья», участок № 64.</w:t>
      </w:r>
    </w:p>
    <w:p w:rsidR="00FA5EE3" w:rsidRPr="00C57F32" w:rsidRDefault="00FA5EE3" w:rsidP="002C062F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86:08:0020801:14507</w:t>
      </w:r>
      <w:r w:rsidR="001152A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605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DA708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 w:rsidR="00DA708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ТСН «Прогресс», участок № 116.</w:t>
      </w:r>
    </w:p>
    <w:p w:rsidR="00890A63" w:rsidRPr="00A42164" w:rsidRDefault="00890A63" w:rsidP="002C062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2C062F" w:rsidP="002C062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C062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C062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C062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221D8F" w:rsidRPr="006E07F5" w:rsidRDefault="00221D8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2C062F" w:rsidRPr="000C331B" w:rsidRDefault="002C062F" w:rsidP="00274B84">
      <w:pPr>
        <w:rPr>
          <w:sz w:val="26"/>
          <w:szCs w:val="26"/>
        </w:rPr>
      </w:pPr>
    </w:p>
    <w:p w:rsidR="00C57F32" w:rsidRDefault="00C57F32" w:rsidP="00C57F32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C3" w:rsidRDefault="001473C3" w:rsidP="0066353A">
      <w:r>
        <w:separator/>
      </w:r>
    </w:p>
  </w:endnote>
  <w:endnote w:type="continuationSeparator" w:id="0">
    <w:p w:rsidR="001473C3" w:rsidRDefault="001473C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C3" w:rsidRDefault="001473C3" w:rsidP="0066353A">
      <w:r>
        <w:separator/>
      </w:r>
    </w:p>
  </w:footnote>
  <w:footnote w:type="continuationSeparator" w:id="0">
    <w:p w:rsidR="001473C3" w:rsidRDefault="001473C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E4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0283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D7F85"/>
    <w:rsid w:val="000E224A"/>
    <w:rsid w:val="000E336E"/>
    <w:rsid w:val="000E3CD3"/>
    <w:rsid w:val="000E63E8"/>
    <w:rsid w:val="000F0186"/>
    <w:rsid w:val="001014C9"/>
    <w:rsid w:val="0010386D"/>
    <w:rsid w:val="001038B0"/>
    <w:rsid w:val="00107695"/>
    <w:rsid w:val="00111B06"/>
    <w:rsid w:val="001152A7"/>
    <w:rsid w:val="00124376"/>
    <w:rsid w:val="00124A63"/>
    <w:rsid w:val="00132825"/>
    <w:rsid w:val="0013312D"/>
    <w:rsid w:val="0013718A"/>
    <w:rsid w:val="00142DDB"/>
    <w:rsid w:val="001453D7"/>
    <w:rsid w:val="001473C3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7DF4"/>
    <w:rsid w:val="00201DEC"/>
    <w:rsid w:val="00203DC6"/>
    <w:rsid w:val="00206691"/>
    <w:rsid w:val="0021291C"/>
    <w:rsid w:val="0021524F"/>
    <w:rsid w:val="00215D72"/>
    <w:rsid w:val="00221D8F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062F"/>
    <w:rsid w:val="002C362A"/>
    <w:rsid w:val="002D0122"/>
    <w:rsid w:val="002D4681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3683F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4720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B42B1"/>
    <w:rsid w:val="007C3E0F"/>
    <w:rsid w:val="007D0902"/>
    <w:rsid w:val="007D093F"/>
    <w:rsid w:val="007E1E84"/>
    <w:rsid w:val="007F0966"/>
    <w:rsid w:val="008013E7"/>
    <w:rsid w:val="00804DCD"/>
    <w:rsid w:val="00805081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679E3"/>
    <w:rsid w:val="00A74142"/>
    <w:rsid w:val="00A80CB2"/>
    <w:rsid w:val="00A8355B"/>
    <w:rsid w:val="00A9058D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A708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6E45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E7E49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F0B2-6BB7-48E2-8D59-58F1A2F7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2019-03-29T09:35:00Z</dcterms:created>
  <dcterms:modified xsi:type="dcterms:W3CDTF">2019-03-29T09:35:00Z</dcterms:modified>
</cp:coreProperties>
</file>