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AEB" w:rsidRPr="001245EE" w:rsidRDefault="009E6AEB" w:rsidP="009E6AEB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1245EE">
        <w:rPr>
          <w:rFonts w:ascii="Times New Roman" w:hAnsi="Times New Roman" w:cs="Times New Roman"/>
          <w:sz w:val="26"/>
          <w:szCs w:val="26"/>
        </w:rPr>
        <w:t>Приложение № 3</w:t>
      </w:r>
    </w:p>
    <w:p w:rsidR="009E6AEB" w:rsidRPr="001245EE" w:rsidRDefault="009E6AEB" w:rsidP="009E6AE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E6AEB" w:rsidRPr="001245EE" w:rsidRDefault="009E6AEB" w:rsidP="009E6AE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D7C21" w:rsidRPr="001245EE" w:rsidRDefault="00CD7C21" w:rsidP="00A217C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245EE">
        <w:rPr>
          <w:rFonts w:ascii="Times New Roman" w:hAnsi="Times New Roman" w:cs="Times New Roman"/>
          <w:sz w:val="26"/>
          <w:szCs w:val="26"/>
        </w:rPr>
        <w:t xml:space="preserve">Пояснительная записка </w:t>
      </w:r>
      <w:r w:rsidR="00A217CD" w:rsidRPr="001245EE">
        <w:rPr>
          <w:rFonts w:ascii="Times New Roman" w:hAnsi="Times New Roman" w:cs="Times New Roman"/>
          <w:sz w:val="26"/>
          <w:szCs w:val="26"/>
        </w:rPr>
        <w:t xml:space="preserve">к отчету за 2015 год </w:t>
      </w:r>
    </w:p>
    <w:p w:rsidR="009E6AEB" w:rsidRPr="001245EE" w:rsidRDefault="009E6AEB" w:rsidP="001245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p w:rsidR="00A217CD" w:rsidRPr="001245EE" w:rsidRDefault="00CD544A" w:rsidP="001245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245EE"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="00A217CD" w:rsidRPr="001245EE">
        <w:rPr>
          <w:rFonts w:ascii="Times New Roman" w:hAnsi="Times New Roman" w:cs="Times New Roman"/>
          <w:b/>
          <w:sz w:val="26"/>
          <w:szCs w:val="26"/>
        </w:rPr>
        <w:t>Наименование муниципальной программы</w:t>
      </w:r>
      <w:proofErr w:type="gramStart"/>
      <w:r w:rsidR="00A217CD" w:rsidRPr="001245EE">
        <w:rPr>
          <w:rFonts w:ascii="Times New Roman" w:hAnsi="Times New Roman" w:cs="Times New Roman"/>
          <w:b/>
          <w:sz w:val="26"/>
          <w:szCs w:val="26"/>
        </w:rPr>
        <w:t xml:space="preserve"> (№,  </w:t>
      </w:r>
      <w:proofErr w:type="gramEnd"/>
      <w:r w:rsidR="00A217CD" w:rsidRPr="001245EE">
        <w:rPr>
          <w:rFonts w:ascii="Times New Roman" w:hAnsi="Times New Roman" w:cs="Times New Roman"/>
          <w:b/>
          <w:sz w:val="26"/>
          <w:szCs w:val="26"/>
        </w:rPr>
        <w:t>дата утверждения, внесенные изменения).</w:t>
      </w:r>
    </w:p>
    <w:p w:rsidR="00CD544A" w:rsidRPr="001245EE" w:rsidRDefault="00CD544A" w:rsidP="001245EE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1245EE">
        <w:rPr>
          <w:rFonts w:ascii="Times New Roman" w:hAnsi="Times New Roman" w:cs="Times New Roman"/>
          <w:sz w:val="26"/>
          <w:szCs w:val="26"/>
        </w:rPr>
        <w:t>Му</w:t>
      </w:r>
      <w:r w:rsidRPr="001245EE">
        <w:rPr>
          <w:rFonts w:ascii="Times New Roman" w:hAnsi="Times New Roman" w:cs="Times New Roman"/>
          <w:sz w:val="26"/>
          <w:szCs w:val="26"/>
        </w:rPr>
        <w:t>ниципальн</w:t>
      </w:r>
      <w:r w:rsidRPr="001245EE">
        <w:rPr>
          <w:rFonts w:ascii="Times New Roman" w:hAnsi="Times New Roman" w:cs="Times New Roman"/>
          <w:sz w:val="26"/>
          <w:szCs w:val="26"/>
        </w:rPr>
        <w:t>ая</w:t>
      </w:r>
      <w:r w:rsidRPr="001245EE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Pr="001245EE">
        <w:rPr>
          <w:rFonts w:ascii="Times New Roman" w:hAnsi="Times New Roman" w:cs="Times New Roman"/>
          <w:sz w:val="26"/>
          <w:szCs w:val="26"/>
        </w:rPr>
        <w:t>а</w:t>
      </w:r>
      <w:r w:rsidRPr="001245EE">
        <w:rPr>
          <w:rFonts w:ascii="Times New Roman" w:hAnsi="Times New Roman" w:cs="Times New Roman"/>
          <w:sz w:val="26"/>
          <w:szCs w:val="26"/>
        </w:rPr>
        <w:t xml:space="preserve"> Нефтеюганского района</w:t>
      </w:r>
      <w:r w:rsidRPr="001245EE">
        <w:rPr>
          <w:rFonts w:ascii="Times New Roman" w:hAnsi="Times New Roman" w:cs="Times New Roman"/>
          <w:sz w:val="26"/>
          <w:szCs w:val="26"/>
        </w:rPr>
        <w:t xml:space="preserve"> </w:t>
      </w:r>
      <w:r w:rsidRPr="001245EE">
        <w:rPr>
          <w:rFonts w:ascii="Times New Roman" w:hAnsi="Times New Roman" w:cs="Times New Roman"/>
          <w:sz w:val="26"/>
          <w:szCs w:val="26"/>
        </w:rPr>
        <w:t>«Образование 21 века на 2014-2020 годы», утвержденная постановлением администрации Нефтеюганского района 09.09.2013 № 2366-па (в редакции от 30.12.2015 № 2399-па-нпа)</w:t>
      </w:r>
      <w:r w:rsidRPr="001245EE">
        <w:rPr>
          <w:rFonts w:ascii="Times New Roman" w:hAnsi="Times New Roman" w:cs="Times New Roman"/>
          <w:sz w:val="26"/>
          <w:szCs w:val="26"/>
        </w:rPr>
        <w:t>.</w:t>
      </w:r>
    </w:p>
    <w:p w:rsidR="00265466" w:rsidRPr="001245EE" w:rsidRDefault="00265466" w:rsidP="001245EE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217CD" w:rsidRPr="001245EE" w:rsidRDefault="00A217CD" w:rsidP="001245EE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1245EE">
        <w:rPr>
          <w:rFonts w:ascii="Times New Roman" w:hAnsi="Times New Roman" w:cs="Times New Roman"/>
          <w:b/>
          <w:sz w:val="26"/>
          <w:szCs w:val="26"/>
        </w:rPr>
        <w:t>2.</w:t>
      </w:r>
      <w:r w:rsidRPr="001245EE">
        <w:rPr>
          <w:rFonts w:ascii="Times New Roman" w:hAnsi="Times New Roman" w:cs="Times New Roman"/>
          <w:b/>
          <w:sz w:val="26"/>
          <w:szCs w:val="26"/>
        </w:rPr>
        <w:tab/>
        <w:t>Соответствие муниципальной программы основным направлениям Стратегии социально-экономического развития Нефтеюганского района, Указам Президента РФ, целевым показателям государственных программ ХМАО-Югры.</w:t>
      </w:r>
    </w:p>
    <w:p w:rsidR="00CD544A" w:rsidRPr="001245EE" w:rsidRDefault="00CD7C21" w:rsidP="001245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45EE">
        <w:rPr>
          <w:rFonts w:ascii="Times New Roman" w:hAnsi="Times New Roman" w:cs="Times New Roman"/>
          <w:sz w:val="26"/>
          <w:szCs w:val="26"/>
        </w:rPr>
        <w:t xml:space="preserve">Муниципальная программа Нефтеюганского района «Образование 21 века на 2014-2020 годы» соответствует основным направлениям </w:t>
      </w:r>
      <w:hyperlink r:id="rId6" w:tgtFrame="_blank" w:history="1">
        <w:r w:rsidR="00CD544A" w:rsidRPr="001245EE">
          <w:rPr>
            <w:rStyle w:val="af2"/>
            <w:rFonts w:ascii="Times New Roman" w:hAnsi="Times New Roman" w:cs="Times New Roman"/>
            <w:color w:val="auto"/>
            <w:sz w:val="26"/>
            <w:szCs w:val="26"/>
            <w:u w:val="none"/>
          </w:rPr>
          <w:t>Стратегии социально-экономического развития муниципального образования Нефтеюганский район на период до 2030 года</w:t>
        </w:r>
      </w:hyperlink>
      <w:r w:rsidR="00CD544A" w:rsidRPr="001245EE">
        <w:rPr>
          <w:rFonts w:ascii="Times New Roman" w:hAnsi="Times New Roman" w:cs="Times New Roman"/>
          <w:sz w:val="26"/>
          <w:szCs w:val="26"/>
        </w:rPr>
        <w:t>, утвержденной Решением Думы Нефтеюганского района от 27.05.2015 № 600</w:t>
      </w:r>
      <w:r w:rsidR="00CD544A" w:rsidRPr="001245EE">
        <w:rPr>
          <w:rFonts w:ascii="Times New Roman" w:hAnsi="Times New Roman" w:cs="Times New Roman"/>
          <w:sz w:val="26"/>
          <w:szCs w:val="26"/>
        </w:rPr>
        <w:t>,</w:t>
      </w:r>
      <w:r w:rsidR="00947B38" w:rsidRPr="001245E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947B38" w:rsidRPr="001245EE">
        <w:rPr>
          <w:rFonts w:ascii="Times New Roman" w:hAnsi="Times New Roman" w:cs="Times New Roman"/>
          <w:sz w:val="26"/>
          <w:szCs w:val="26"/>
        </w:rPr>
        <w:t xml:space="preserve">учитывает приоритеты стратегического развития сферы образования, определенные на уровне Российской Федерации, автономного округа, муниципального образования. </w:t>
      </w:r>
    </w:p>
    <w:p w:rsidR="00265466" w:rsidRPr="001245EE" w:rsidRDefault="00947B38" w:rsidP="001245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245EE">
        <w:rPr>
          <w:rFonts w:ascii="Times New Roman" w:hAnsi="Times New Roman" w:cs="Times New Roman"/>
          <w:sz w:val="26"/>
          <w:szCs w:val="26"/>
        </w:rPr>
        <w:t>Целевые показатели сформулированы в соответствии с показателями государственной программы ХМАО – Югры «Развитие образования в ХМАО – Югре на 2016-2020 годы»,</w:t>
      </w:r>
      <w:r w:rsidR="00CD544A" w:rsidRPr="001245EE">
        <w:rPr>
          <w:rFonts w:ascii="Times New Roman" w:hAnsi="Times New Roman" w:cs="Times New Roman"/>
          <w:sz w:val="26"/>
          <w:szCs w:val="26"/>
        </w:rPr>
        <w:t xml:space="preserve"> утвержденной постановлением правительства </w:t>
      </w:r>
      <w:r w:rsidR="00CD544A" w:rsidRPr="001245EE">
        <w:rPr>
          <w:rFonts w:ascii="Times New Roman" w:hAnsi="Times New Roman" w:cs="Times New Roman"/>
          <w:sz w:val="26"/>
          <w:szCs w:val="26"/>
        </w:rPr>
        <w:t>ХМАО – Югры</w:t>
      </w:r>
      <w:r w:rsidR="00CD544A" w:rsidRPr="001245EE">
        <w:rPr>
          <w:rFonts w:ascii="Times New Roman" w:hAnsi="Times New Roman" w:cs="Times New Roman"/>
          <w:sz w:val="26"/>
          <w:szCs w:val="26"/>
        </w:rPr>
        <w:t xml:space="preserve"> от 09.10.2010 № 413-п, </w:t>
      </w:r>
      <w:r w:rsidRPr="001245EE">
        <w:rPr>
          <w:rFonts w:ascii="Times New Roman" w:hAnsi="Times New Roman" w:cs="Times New Roman"/>
          <w:sz w:val="26"/>
          <w:szCs w:val="26"/>
        </w:rPr>
        <w:t xml:space="preserve"> при этом учтены значения показателей, определенных Указ</w:t>
      </w:r>
      <w:r w:rsidR="00265466" w:rsidRPr="001245EE">
        <w:rPr>
          <w:rFonts w:ascii="Times New Roman" w:hAnsi="Times New Roman" w:cs="Times New Roman"/>
          <w:sz w:val="26"/>
          <w:szCs w:val="26"/>
        </w:rPr>
        <w:t>а</w:t>
      </w:r>
      <w:r w:rsidRPr="001245EE">
        <w:rPr>
          <w:rFonts w:ascii="Times New Roman" w:hAnsi="Times New Roman" w:cs="Times New Roman"/>
          <w:sz w:val="26"/>
          <w:szCs w:val="26"/>
        </w:rPr>
        <w:t>м</w:t>
      </w:r>
      <w:r w:rsidR="00265466" w:rsidRPr="001245EE">
        <w:rPr>
          <w:rFonts w:ascii="Times New Roman" w:hAnsi="Times New Roman" w:cs="Times New Roman"/>
          <w:sz w:val="26"/>
          <w:szCs w:val="26"/>
        </w:rPr>
        <w:t>и</w:t>
      </w:r>
      <w:r w:rsidRPr="001245EE">
        <w:rPr>
          <w:rFonts w:ascii="Times New Roman" w:hAnsi="Times New Roman" w:cs="Times New Roman"/>
          <w:sz w:val="26"/>
          <w:szCs w:val="26"/>
        </w:rPr>
        <w:t xml:space="preserve"> Президента РФ </w:t>
      </w:r>
      <w:r w:rsidR="00265466" w:rsidRPr="001245EE">
        <w:rPr>
          <w:rFonts w:ascii="Times New Roman" w:hAnsi="Times New Roman" w:cs="Times New Roman"/>
          <w:sz w:val="26"/>
          <w:szCs w:val="26"/>
        </w:rPr>
        <w:t>от 07.05.2012 № 597 «О мероприятиях по реализации государственной социальной политики» и № 599 «О мерах по реализации государственной политики в области образования и науки»</w:t>
      </w:r>
      <w:proofErr w:type="gramEnd"/>
    </w:p>
    <w:p w:rsidR="00265466" w:rsidRPr="001245EE" w:rsidRDefault="00265466" w:rsidP="001245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217CD" w:rsidRPr="001245EE" w:rsidRDefault="00265466" w:rsidP="001245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45EE"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A217CD" w:rsidRPr="001245EE">
        <w:rPr>
          <w:rFonts w:ascii="Times New Roman" w:hAnsi="Times New Roman" w:cs="Times New Roman"/>
          <w:b/>
          <w:sz w:val="26"/>
          <w:szCs w:val="26"/>
        </w:rPr>
        <w:t>Исполнители муниципальной программы</w:t>
      </w:r>
    </w:p>
    <w:p w:rsidR="00C42D34" w:rsidRPr="001245EE" w:rsidRDefault="00C42D34" w:rsidP="001245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45EE">
        <w:rPr>
          <w:rFonts w:ascii="Times New Roman" w:hAnsi="Times New Roman" w:cs="Times New Roman"/>
          <w:sz w:val="26"/>
          <w:szCs w:val="26"/>
        </w:rPr>
        <w:t>Ответственный исполнитель: департамент образования и молодежной политики Нефтеюганского района.</w:t>
      </w:r>
    </w:p>
    <w:p w:rsidR="00265466" w:rsidRPr="001245EE" w:rsidRDefault="00C42D34" w:rsidP="001245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45EE">
        <w:rPr>
          <w:rFonts w:ascii="Times New Roman" w:hAnsi="Times New Roman" w:cs="Times New Roman"/>
          <w:sz w:val="26"/>
          <w:szCs w:val="26"/>
        </w:rPr>
        <w:t>Соисполнители: департамент строительства и жилищно-коммунального комплекса Нефтеюганского района, департамент культуры и спорта Нефтеюганского района, департамент имущественных отношений Нефтеюганского района.</w:t>
      </w:r>
    </w:p>
    <w:p w:rsidR="00265466" w:rsidRPr="001245EE" w:rsidRDefault="00265466" w:rsidP="001245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42D34" w:rsidRPr="001245EE" w:rsidRDefault="00265466" w:rsidP="001245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45EE">
        <w:rPr>
          <w:rFonts w:ascii="Times New Roman" w:hAnsi="Times New Roman" w:cs="Times New Roman"/>
          <w:sz w:val="26"/>
          <w:szCs w:val="26"/>
        </w:rPr>
        <w:t xml:space="preserve">4. </w:t>
      </w:r>
      <w:r w:rsidR="00C42D34" w:rsidRPr="001245EE">
        <w:rPr>
          <w:rFonts w:ascii="Times New Roman" w:hAnsi="Times New Roman" w:cs="Times New Roman"/>
          <w:b/>
          <w:sz w:val="26"/>
          <w:szCs w:val="26"/>
        </w:rPr>
        <w:t>Цели реализации муниципальной программы.</w:t>
      </w:r>
    </w:p>
    <w:p w:rsidR="00C42D34" w:rsidRPr="001245EE" w:rsidRDefault="00C42D34" w:rsidP="001245EE">
      <w:pPr>
        <w:pStyle w:val="a3"/>
        <w:ind w:left="0"/>
        <w:jc w:val="both"/>
        <w:rPr>
          <w:sz w:val="26"/>
          <w:szCs w:val="26"/>
        </w:rPr>
      </w:pPr>
      <w:r w:rsidRPr="001245EE">
        <w:rPr>
          <w:bCs/>
          <w:sz w:val="26"/>
          <w:szCs w:val="26"/>
        </w:rPr>
        <w:t>В программе обозначены две ц</w:t>
      </w:r>
      <w:r w:rsidRPr="001245EE">
        <w:rPr>
          <w:sz w:val="26"/>
          <w:szCs w:val="26"/>
        </w:rPr>
        <w:t>ели:</w:t>
      </w:r>
    </w:p>
    <w:p w:rsidR="00C42D34" w:rsidRPr="001245EE" w:rsidRDefault="00C42D34" w:rsidP="001245EE">
      <w:pPr>
        <w:pStyle w:val="a3"/>
        <w:ind w:left="0" w:firstLine="720"/>
        <w:jc w:val="both"/>
        <w:rPr>
          <w:sz w:val="26"/>
          <w:szCs w:val="26"/>
        </w:rPr>
      </w:pPr>
      <w:r w:rsidRPr="001245EE">
        <w:rPr>
          <w:sz w:val="26"/>
          <w:szCs w:val="26"/>
        </w:rPr>
        <w:t>- обеспечение доступности качественного образования для каждого жителя Нефтеюганского района;</w:t>
      </w:r>
    </w:p>
    <w:p w:rsidR="00265466" w:rsidRPr="001245EE" w:rsidRDefault="00C42D34" w:rsidP="001245EE">
      <w:pPr>
        <w:pStyle w:val="a3"/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1245EE">
        <w:rPr>
          <w:sz w:val="26"/>
          <w:szCs w:val="26"/>
        </w:rPr>
        <w:t>- повышение эффективности реализации молодежной политики в интересах социально-экономического развития Нефтеюганского района.</w:t>
      </w:r>
    </w:p>
    <w:p w:rsidR="00265466" w:rsidRPr="001245EE" w:rsidRDefault="00265466" w:rsidP="001245EE">
      <w:pPr>
        <w:pStyle w:val="a3"/>
        <w:tabs>
          <w:tab w:val="left" w:pos="1134"/>
        </w:tabs>
        <w:ind w:left="0" w:firstLine="720"/>
        <w:jc w:val="both"/>
        <w:rPr>
          <w:sz w:val="26"/>
          <w:szCs w:val="26"/>
        </w:rPr>
      </w:pPr>
    </w:p>
    <w:p w:rsidR="00C42D34" w:rsidRPr="001245EE" w:rsidRDefault="00265466" w:rsidP="001245EE">
      <w:pPr>
        <w:pStyle w:val="a3"/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1245EE">
        <w:rPr>
          <w:sz w:val="26"/>
          <w:szCs w:val="26"/>
        </w:rPr>
        <w:t xml:space="preserve">5. </w:t>
      </w:r>
      <w:r w:rsidR="00C42D34" w:rsidRPr="001245EE">
        <w:rPr>
          <w:b/>
          <w:sz w:val="26"/>
          <w:szCs w:val="26"/>
        </w:rPr>
        <w:t>Задачи муниципальной программы и пути их решения.</w:t>
      </w:r>
    </w:p>
    <w:p w:rsidR="00C358E2" w:rsidRPr="001245EE" w:rsidRDefault="00C358E2" w:rsidP="001245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245EE">
        <w:rPr>
          <w:rFonts w:ascii="Times New Roman" w:hAnsi="Times New Roman" w:cs="Times New Roman"/>
          <w:sz w:val="26"/>
          <w:szCs w:val="26"/>
        </w:rPr>
        <w:t>Задача 1. Обеспечение инновационного развития образования.</w:t>
      </w:r>
    </w:p>
    <w:p w:rsidR="00C358E2" w:rsidRPr="001245EE" w:rsidRDefault="00C358E2" w:rsidP="001245EE">
      <w:pPr>
        <w:pStyle w:val="msonormalcxspmiddle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1245EE">
        <w:rPr>
          <w:sz w:val="26"/>
          <w:szCs w:val="26"/>
        </w:rPr>
        <w:t xml:space="preserve">Задача 2. Развитие материально-технической базы </w:t>
      </w:r>
      <w:r w:rsidRPr="001245EE">
        <w:rPr>
          <w:spacing w:val="-4"/>
          <w:sz w:val="26"/>
          <w:szCs w:val="26"/>
        </w:rPr>
        <w:t>образовательных организаций в соответствии с современными</w:t>
      </w:r>
      <w:r w:rsidRPr="001245EE">
        <w:rPr>
          <w:sz w:val="26"/>
          <w:szCs w:val="26"/>
        </w:rPr>
        <w:t xml:space="preserve"> требованиями.</w:t>
      </w:r>
    </w:p>
    <w:p w:rsidR="00C358E2" w:rsidRPr="001245EE" w:rsidRDefault="00C358E2" w:rsidP="001245EE">
      <w:pPr>
        <w:pStyle w:val="msonormalcxspmiddle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1245EE">
        <w:rPr>
          <w:sz w:val="26"/>
          <w:szCs w:val="26"/>
        </w:rPr>
        <w:t>Задача 3. Развитие системы оценки качества образования и информационной прозрачности системы образования.</w:t>
      </w:r>
    </w:p>
    <w:p w:rsidR="00C358E2" w:rsidRPr="001245EE" w:rsidRDefault="00C358E2" w:rsidP="001245EE">
      <w:pPr>
        <w:pStyle w:val="msonormalcxspmiddle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1245EE">
        <w:rPr>
          <w:sz w:val="26"/>
          <w:szCs w:val="26"/>
        </w:rPr>
        <w:lastRenderedPageBreak/>
        <w:t xml:space="preserve">Задача 4. Создание системы вовлечения молодежи </w:t>
      </w:r>
      <w:r w:rsidRPr="001245EE">
        <w:rPr>
          <w:sz w:val="26"/>
          <w:szCs w:val="26"/>
        </w:rPr>
        <w:br/>
        <w:t>в социальную активную деятельность.</w:t>
      </w:r>
    </w:p>
    <w:p w:rsidR="00C358E2" w:rsidRPr="001245EE" w:rsidRDefault="00C358E2" w:rsidP="001245EE">
      <w:pPr>
        <w:pStyle w:val="msonormalcxspmiddle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1245EE">
        <w:rPr>
          <w:sz w:val="26"/>
          <w:szCs w:val="26"/>
        </w:rPr>
        <w:t xml:space="preserve">Задача 5. Создание условий для развития гражданско-патриотического воспитания и допризывной подготовки молодежи к военной службе. </w:t>
      </w:r>
    </w:p>
    <w:p w:rsidR="00C358E2" w:rsidRPr="001245EE" w:rsidRDefault="00C358E2" w:rsidP="001245EE">
      <w:pPr>
        <w:pStyle w:val="msonormalcxspmiddle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1245EE">
        <w:rPr>
          <w:sz w:val="26"/>
          <w:szCs w:val="26"/>
        </w:rPr>
        <w:t xml:space="preserve">Задача 6. Организация деятельности в области образования и молодежной политики на территории Нефтеюганского района. </w:t>
      </w:r>
    </w:p>
    <w:p w:rsidR="001245EE" w:rsidRDefault="00C358E2" w:rsidP="001245EE">
      <w:pPr>
        <w:pStyle w:val="msonormalcxsplast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1245EE">
        <w:rPr>
          <w:sz w:val="26"/>
          <w:szCs w:val="26"/>
        </w:rPr>
        <w:t xml:space="preserve">Задача 7. Финансовое обеспечение деятельности по оказанию муниципальных услуг в сфере образования, молодежной политики, социальной поддержке обучающихся и работников образовательных организаций. </w:t>
      </w:r>
    </w:p>
    <w:p w:rsidR="001245EE" w:rsidRDefault="001245EE" w:rsidP="001245EE">
      <w:pPr>
        <w:pStyle w:val="msonormalcxsplast"/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p w:rsidR="00265466" w:rsidRPr="001245EE" w:rsidRDefault="001245EE" w:rsidP="001245EE">
      <w:pPr>
        <w:pStyle w:val="msonormalcxsplast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="00C42D34" w:rsidRPr="001245EE">
        <w:rPr>
          <w:b/>
          <w:sz w:val="26"/>
          <w:szCs w:val="26"/>
        </w:rPr>
        <w:t>Описание изменений в соответствующей сфере социально-экономического развития Нефтеюганского района за отчетный период.</w:t>
      </w:r>
    </w:p>
    <w:p w:rsidR="008A5EFE" w:rsidRPr="00D611DF" w:rsidRDefault="008A5EFE" w:rsidP="008A5E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t xml:space="preserve">Образовательный комплекс Нефтеюганского района в 2015 году включает: </w:t>
      </w:r>
    </w:p>
    <w:p w:rsidR="008A5EFE" w:rsidRPr="00D611DF" w:rsidRDefault="008A5EFE" w:rsidP="008A5EF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t xml:space="preserve">14 общеобразовательных организаций; </w:t>
      </w:r>
    </w:p>
    <w:p w:rsidR="008A5EFE" w:rsidRPr="00D611DF" w:rsidRDefault="008A5EFE" w:rsidP="008A5EFE">
      <w:pPr>
        <w:tabs>
          <w:tab w:val="left" w:pos="-90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t xml:space="preserve">15 дошкольных образовательных организаций; </w:t>
      </w:r>
    </w:p>
    <w:p w:rsidR="008A5EFE" w:rsidRPr="00D611DF" w:rsidRDefault="008A5EFE" w:rsidP="008A5EFE">
      <w:pPr>
        <w:tabs>
          <w:tab w:val="left" w:pos="-90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t xml:space="preserve">3 организации </w:t>
      </w:r>
      <w:proofErr w:type="gramStart"/>
      <w:r w:rsidRPr="00D611DF">
        <w:rPr>
          <w:rFonts w:ascii="Times New Roman" w:hAnsi="Times New Roman" w:cs="Times New Roman"/>
          <w:sz w:val="26"/>
          <w:szCs w:val="26"/>
        </w:rPr>
        <w:t>дополнительного</w:t>
      </w:r>
      <w:proofErr w:type="gramEnd"/>
      <w:r w:rsidRPr="00D611DF">
        <w:rPr>
          <w:rFonts w:ascii="Times New Roman" w:hAnsi="Times New Roman" w:cs="Times New Roman"/>
          <w:sz w:val="26"/>
          <w:szCs w:val="26"/>
        </w:rPr>
        <w:t xml:space="preserve"> образования детей. </w:t>
      </w:r>
    </w:p>
    <w:p w:rsidR="008A5EFE" w:rsidRPr="00D611DF" w:rsidRDefault="008A5EFE" w:rsidP="008A5E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t>По программам общего образо</w:t>
      </w:r>
      <w:r w:rsidRPr="00D611DF">
        <w:rPr>
          <w:rFonts w:ascii="Times New Roman" w:hAnsi="Times New Roman" w:cs="Times New Roman"/>
          <w:sz w:val="26"/>
          <w:szCs w:val="26"/>
        </w:rPr>
        <w:t xml:space="preserve">вания обучается  4806 учащихся. </w:t>
      </w:r>
      <w:r w:rsidRPr="00D611DF">
        <w:rPr>
          <w:rFonts w:ascii="Times New Roman" w:hAnsi="Times New Roman" w:cs="Times New Roman"/>
          <w:sz w:val="26"/>
          <w:szCs w:val="26"/>
        </w:rPr>
        <w:t>Образовательный проце</w:t>
      </w:r>
      <w:proofErr w:type="gramStart"/>
      <w:r w:rsidRPr="00D611DF">
        <w:rPr>
          <w:rFonts w:ascii="Times New Roman" w:hAnsi="Times New Roman" w:cs="Times New Roman"/>
          <w:sz w:val="26"/>
          <w:szCs w:val="26"/>
        </w:rPr>
        <w:t>сс в шк</w:t>
      </w:r>
      <w:proofErr w:type="gramEnd"/>
      <w:r w:rsidRPr="00D611DF">
        <w:rPr>
          <w:rFonts w:ascii="Times New Roman" w:hAnsi="Times New Roman" w:cs="Times New Roman"/>
          <w:sz w:val="26"/>
          <w:szCs w:val="26"/>
        </w:rPr>
        <w:t xml:space="preserve">олах обеспечивают 438 педагогических работников, в том числе 358 учителей, 87,7% из которых составляют женщины. Высшее профессиональное образование имеют 386 педагогических работников, что составляет 88,1% от общего количества. Высшую квалификационную категорию имеют 60 педагогических работников, что составляет 13,7 % от общего </w:t>
      </w:r>
      <w:r w:rsidRPr="00D611DF">
        <w:rPr>
          <w:rFonts w:ascii="Times New Roman" w:hAnsi="Times New Roman" w:cs="Times New Roman"/>
          <w:sz w:val="26"/>
          <w:szCs w:val="26"/>
        </w:rPr>
        <w:t xml:space="preserve">количества. </w:t>
      </w:r>
      <w:r w:rsidRPr="00D611DF">
        <w:rPr>
          <w:rFonts w:ascii="Times New Roman" w:hAnsi="Times New Roman" w:cs="Times New Roman"/>
          <w:sz w:val="26"/>
          <w:szCs w:val="26"/>
        </w:rPr>
        <w:t xml:space="preserve">Доля педагогических работников пенсионного возраста составляет 29,9%, в возрасте до 35 лет – 21,7%. </w:t>
      </w:r>
    </w:p>
    <w:p w:rsidR="008A5EFE" w:rsidRPr="00D611DF" w:rsidRDefault="008A5EFE" w:rsidP="008A5E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t xml:space="preserve">Воспитание, обучение, присмотр и уход 2449 детей дошкольного возраста осуществляют 272 педагогических работников, из них 199 воспитателей. Высшее профессиональное образование имеют 179 педагогических работников, что составляет 65,8% от общего количества. Доля педагогических работников в возрасте свыше 50 лет составляет 15,1%, в возрасте до 30 лет –11,8%, </w:t>
      </w:r>
    </w:p>
    <w:p w:rsidR="008A5EFE" w:rsidRPr="00D611DF" w:rsidRDefault="008A5EFE" w:rsidP="008A5E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t xml:space="preserve">По программам </w:t>
      </w:r>
      <w:proofErr w:type="gramStart"/>
      <w:r w:rsidRPr="00D611DF">
        <w:rPr>
          <w:rFonts w:ascii="Times New Roman" w:hAnsi="Times New Roman" w:cs="Times New Roman"/>
          <w:sz w:val="26"/>
          <w:szCs w:val="26"/>
        </w:rPr>
        <w:t>дополнительного</w:t>
      </w:r>
      <w:proofErr w:type="gramEnd"/>
      <w:r w:rsidRPr="00D611DF">
        <w:rPr>
          <w:rFonts w:ascii="Times New Roman" w:hAnsi="Times New Roman" w:cs="Times New Roman"/>
          <w:sz w:val="26"/>
          <w:szCs w:val="26"/>
        </w:rPr>
        <w:t xml:space="preserve"> образования занимается 3179 воспитанников.</w:t>
      </w:r>
      <w:r w:rsidRPr="00D611D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611DF">
        <w:rPr>
          <w:rFonts w:ascii="Times New Roman" w:hAnsi="Times New Roman" w:cs="Times New Roman"/>
          <w:sz w:val="26"/>
          <w:szCs w:val="26"/>
        </w:rPr>
        <w:t>Обеспечивают педагогическое сопровождение 30 работников. Высшее профессиональное образование имеют 20 педагогических работников, что составляет 66,7% от общего количества. Высшую квалификационную категорию имеют 8 педагогических работников, что составляет 26,7% от общего количества. Доля педагогических работников пенсионного возраста составляет 23,3%, в возрасте до 35 лет – 33,3%.</w:t>
      </w:r>
    </w:p>
    <w:p w:rsidR="008A5EFE" w:rsidRPr="00D611DF" w:rsidRDefault="008A5EFE" w:rsidP="008A5EFE">
      <w:pPr>
        <w:keepNext/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t xml:space="preserve">Общая численность работников системы образования составляет 1683 человека, из них 740 педагогических работников. Доля педагогических работников, в общем количестве работающих составляет 44,0 %. </w:t>
      </w:r>
    </w:p>
    <w:p w:rsidR="008A5EFE" w:rsidRPr="00D611DF" w:rsidRDefault="008A5EFE" w:rsidP="008A5EFE">
      <w:pPr>
        <w:keepNext/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t xml:space="preserve">В среднем в образовательных организациях на одного среднесписочного работника приходится 1,21 ставки, в том числе по педагогическому персоналу – 1,32 ставки. </w:t>
      </w:r>
    </w:p>
    <w:p w:rsidR="008A5EFE" w:rsidRPr="00D611DF" w:rsidRDefault="008A5EFE" w:rsidP="008A5E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t xml:space="preserve">Все образовательные организации осуществляли свою деятельность в соответствии с установленным муниципальным заданием. </w:t>
      </w:r>
    </w:p>
    <w:p w:rsidR="008A5EFE" w:rsidRPr="00D611DF" w:rsidRDefault="008A5EFE" w:rsidP="008A5E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611DF">
        <w:rPr>
          <w:rFonts w:ascii="Times New Roman" w:hAnsi="Times New Roman" w:cs="Times New Roman"/>
          <w:sz w:val="26"/>
          <w:szCs w:val="26"/>
        </w:rPr>
        <w:t xml:space="preserve">На финансовое обеспечение выполнения муниципального задания было направлено 1 378 217,3 тыс. руб., из них более 80 млн. руб. - на создание развивающей предметно-пространственной среды для введения и реализации Федерального государственного образовательного стандарта дошкольного, начального и основного общего образования, приобретение интерактивного, </w:t>
      </w:r>
      <w:r w:rsidRPr="00D611DF">
        <w:rPr>
          <w:rFonts w:ascii="Times New Roman" w:hAnsi="Times New Roman" w:cs="Times New Roman"/>
          <w:sz w:val="26"/>
          <w:szCs w:val="26"/>
        </w:rPr>
        <w:lastRenderedPageBreak/>
        <w:t xml:space="preserve">учебного, демонстрационного, лабораторного, компьютерного, спортивного и игрового  оборудования,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лего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-конструкторов и робототехники. </w:t>
      </w:r>
      <w:proofErr w:type="gramEnd"/>
    </w:p>
    <w:p w:rsidR="008A5EFE" w:rsidRPr="00D611DF" w:rsidRDefault="008A5EFE" w:rsidP="008A5E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611DF">
        <w:rPr>
          <w:rFonts w:ascii="Times New Roman" w:hAnsi="Times New Roman" w:cs="Times New Roman"/>
          <w:sz w:val="26"/>
          <w:szCs w:val="26"/>
        </w:rPr>
        <w:t xml:space="preserve">В 2015 году обеспечено достижение планового значения размера среднемесячной заработной платы педагогических работников, установленного соглашением от 17.07.2014 № 07/14.0193 </w:t>
      </w:r>
      <w:r w:rsidRPr="00D611DF">
        <w:rPr>
          <w:rFonts w:ascii="Times New Roman" w:hAnsi="Times New Roman" w:cs="Times New Roman"/>
          <w:bCs/>
          <w:sz w:val="26"/>
          <w:szCs w:val="26"/>
        </w:rPr>
        <w:t>между Департаментом образования и молодежной политики Ханты-Мансийского автономного округа – Югры и Администрацией Нефтеюганского района об обеспечении в 2014-2018 годах достижения целевых показателей оптимизации сети муниципальных образовательных организаций, определенных муниципальным планом мероприятий («дорожной картой») «Изменения в отраслях социальной сферы, направленные на повышение</w:t>
      </w:r>
      <w:proofErr w:type="gramEnd"/>
      <w:r w:rsidRPr="00D611DF">
        <w:rPr>
          <w:rFonts w:ascii="Times New Roman" w:hAnsi="Times New Roman" w:cs="Times New Roman"/>
          <w:bCs/>
          <w:sz w:val="26"/>
          <w:szCs w:val="26"/>
        </w:rPr>
        <w:t xml:space="preserve"> эффективности образования </w:t>
      </w:r>
      <w:proofErr w:type="gramStart"/>
      <w:r w:rsidRPr="00D611DF">
        <w:rPr>
          <w:rFonts w:ascii="Times New Roman" w:hAnsi="Times New Roman" w:cs="Times New Roman"/>
          <w:bCs/>
          <w:sz w:val="26"/>
          <w:szCs w:val="26"/>
        </w:rPr>
        <w:t>в</w:t>
      </w:r>
      <w:proofErr w:type="gramEnd"/>
      <w:r w:rsidRPr="00D611DF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D611DF">
        <w:rPr>
          <w:rFonts w:ascii="Times New Roman" w:hAnsi="Times New Roman" w:cs="Times New Roman"/>
          <w:bCs/>
          <w:sz w:val="26"/>
          <w:szCs w:val="26"/>
        </w:rPr>
        <w:t>Нефтеюганском</w:t>
      </w:r>
      <w:proofErr w:type="gramEnd"/>
      <w:r w:rsidRPr="00D611DF">
        <w:rPr>
          <w:rFonts w:ascii="Times New Roman" w:hAnsi="Times New Roman" w:cs="Times New Roman"/>
          <w:bCs/>
          <w:sz w:val="26"/>
          <w:szCs w:val="26"/>
        </w:rPr>
        <w:t xml:space="preserve"> районе»</w:t>
      </w:r>
      <w:r w:rsidRPr="00D611DF">
        <w:rPr>
          <w:rFonts w:ascii="Times New Roman" w:hAnsi="Times New Roman" w:cs="Times New Roman"/>
          <w:sz w:val="26"/>
          <w:szCs w:val="26"/>
        </w:rPr>
        <w:t>.</w:t>
      </w:r>
    </w:p>
    <w:p w:rsidR="008A5EFE" w:rsidRPr="00D611DF" w:rsidRDefault="008A5EFE" w:rsidP="008A5E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t>На обеспечение социальных гарантий работникам образовательных организаций в соответствии с заключенным Соглашением на 2013-2015 годы между администрацией района и Нефтеюганской районной организацией профсоюза работников народного образования и науки Российской Федерации израсходовано 16 711,9 тыс. руб.</w:t>
      </w:r>
    </w:p>
    <w:p w:rsidR="008A5EFE" w:rsidRPr="00D611DF" w:rsidRDefault="008A5EFE" w:rsidP="001245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A5EFE" w:rsidRPr="00D611DF" w:rsidRDefault="008A5EFE" w:rsidP="008A5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t>Для решения поставленных задач и достижения целевых показателей в 2015 году был реализован комплекс мероприятий, направленных на модернизацию системы образования и молодежной политики:</w:t>
      </w:r>
    </w:p>
    <w:p w:rsidR="008A5EFE" w:rsidRPr="00D611DF" w:rsidRDefault="008A5EFE" w:rsidP="008A5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A5EFE" w:rsidRPr="00D611DF" w:rsidRDefault="008A5EFE" w:rsidP="001245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  <w:u w:val="single"/>
        </w:rPr>
        <w:t>Поддержка</w:t>
      </w:r>
      <w:r w:rsidR="001245EE" w:rsidRPr="00D611DF">
        <w:rPr>
          <w:rFonts w:ascii="Times New Roman" w:hAnsi="Times New Roman" w:cs="Times New Roman"/>
          <w:sz w:val="26"/>
          <w:szCs w:val="26"/>
          <w:u w:val="single"/>
        </w:rPr>
        <w:t xml:space="preserve"> способной и талантливой молодежи с целью развития учебно-исследовательских и творческих способностей учащихся</w:t>
      </w:r>
      <w:r w:rsidR="001245EE" w:rsidRPr="00D611D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A5EFE" w:rsidRPr="00D611DF" w:rsidRDefault="008A5EFE" w:rsidP="008A5E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t>Независимой оценкой качества образования являются результаты олимпиад и конкурсов различного уровня.</w:t>
      </w:r>
    </w:p>
    <w:p w:rsidR="008A5EFE" w:rsidRPr="00D611DF" w:rsidRDefault="008A5EFE" w:rsidP="00D611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t xml:space="preserve">Победителем регионального этапа Всероссийской олимпиады школьников  по экологии стала ученица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Пойковской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 школы № 4 Мустафина Екатерина. Призеры олимпиады </w:t>
      </w:r>
      <w:proofErr w:type="gramStart"/>
      <w:r w:rsidRPr="00D611DF">
        <w:rPr>
          <w:rFonts w:ascii="Times New Roman" w:hAnsi="Times New Roman" w:cs="Times New Roman"/>
          <w:sz w:val="26"/>
          <w:szCs w:val="26"/>
        </w:rPr>
        <w:t>–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Д</w:t>
      </w:r>
      <w:proofErr w:type="gramEnd"/>
      <w:r w:rsidRPr="00D611DF">
        <w:rPr>
          <w:rFonts w:ascii="Times New Roman" w:hAnsi="Times New Roman" w:cs="Times New Roman"/>
          <w:sz w:val="26"/>
          <w:szCs w:val="26"/>
        </w:rPr>
        <w:t>аровских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 Кирилл, ученик школы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Пойковской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 школы № 1 по предмету технология, 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Шерапова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Севара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, ученица школы № 4 по предмету экология. </w:t>
      </w:r>
    </w:p>
    <w:p w:rsidR="008A5EFE" w:rsidRPr="00D611DF" w:rsidRDefault="008A5EFE" w:rsidP="00D611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t xml:space="preserve">В октябре 2015 года в  Межрегиональной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Компетентностной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 олимпиаде </w:t>
      </w:r>
      <w:proofErr w:type="gramStart"/>
      <w:r w:rsidRPr="00D611DF">
        <w:rPr>
          <w:rFonts w:ascii="Times New Roman" w:hAnsi="Times New Roman" w:cs="Times New Roman"/>
          <w:sz w:val="26"/>
          <w:szCs w:val="26"/>
        </w:rPr>
        <w:t>обучающийся</w:t>
      </w:r>
      <w:proofErr w:type="gramEnd"/>
      <w:r w:rsidRPr="00D611DF">
        <w:rPr>
          <w:rFonts w:ascii="Times New Roman" w:hAnsi="Times New Roman" w:cs="Times New Roman"/>
          <w:sz w:val="26"/>
          <w:szCs w:val="26"/>
        </w:rPr>
        <w:t xml:space="preserve"> школы № 1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Пойковский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 Никифорова Полина стала призером в  направлении «Медицинская инфраструктура». </w:t>
      </w:r>
    </w:p>
    <w:p w:rsidR="008A5EFE" w:rsidRPr="00D611DF" w:rsidRDefault="008A5EFE" w:rsidP="00D611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t xml:space="preserve">В окружной научной конференции молодых исследователей «Шаг в будущее»  второе место заняла  ученица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Пойковской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 школы № 4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Шерапова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Севара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8A5EFE" w:rsidRPr="00D611DF" w:rsidRDefault="00D611DF" w:rsidP="00D611DF">
      <w:pPr>
        <w:pStyle w:val="a7"/>
        <w:ind w:firstLine="708"/>
        <w:jc w:val="both"/>
        <w:rPr>
          <w:sz w:val="26"/>
          <w:szCs w:val="26"/>
        </w:rPr>
      </w:pPr>
      <w:r w:rsidRPr="00D611DF">
        <w:rPr>
          <w:sz w:val="26"/>
          <w:szCs w:val="26"/>
        </w:rPr>
        <w:t>В</w:t>
      </w:r>
      <w:r w:rsidR="008A5EFE" w:rsidRPr="00D611DF">
        <w:rPr>
          <w:sz w:val="26"/>
          <w:szCs w:val="26"/>
        </w:rPr>
        <w:t xml:space="preserve"> первенстве ХМАО-Югры по классическим шахматам воспитанница шахматной школы им. </w:t>
      </w:r>
      <w:proofErr w:type="spellStart"/>
      <w:r w:rsidR="008A5EFE" w:rsidRPr="00D611DF">
        <w:rPr>
          <w:sz w:val="26"/>
          <w:szCs w:val="26"/>
        </w:rPr>
        <w:t>А.Карпова</w:t>
      </w:r>
      <w:proofErr w:type="spellEnd"/>
      <w:r w:rsidR="008A5EFE" w:rsidRPr="00D611DF">
        <w:rPr>
          <w:sz w:val="26"/>
          <w:szCs w:val="26"/>
        </w:rPr>
        <w:t xml:space="preserve"> </w:t>
      </w:r>
      <w:proofErr w:type="spellStart"/>
      <w:r w:rsidR="008A5EFE" w:rsidRPr="00D611DF">
        <w:rPr>
          <w:sz w:val="26"/>
          <w:szCs w:val="26"/>
        </w:rPr>
        <w:t>Амирова</w:t>
      </w:r>
      <w:proofErr w:type="spellEnd"/>
      <w:r w:rsidR="008A5EFE" w:rsidRPr="00D611DF">
        <w:rPr>
          <w:sz w:val="26"/>
          <w:szCs w:val="26"/>
        </w:rPr>
        <w:t xml:space="preserve"> Милена заняла II место. Другая талантливая воспитанница школы -  </w:t>
      </w:r>
      <w:proofErr w:type="spellStart"/>
      <w:r w:rsidR="008A5EFE" w:rsidRPr="00D611DF">
        <w:rPr>
          <w:sz w:val="26"/>
          <w:szCs w:val="26"/>
        </w:rPr>
        <w:t>Стефанишина</w:t>
      </w:r>
      <w:proofErr w:type="spellEnd"/>
      <w:r w:rsidR="008A5EFE" w:rsidRPr="00D611DF">
        <w:rPr>
          <w:sz w:val="26"/>
          <w:szCs w:val="26"/>
        </w:rPr>
        <w:t xml:space="preserve"> Елена получила </w:t>
      </w:r>
      <w:r w:rsidR="008A5EFE" w:rsidRPr="00D611DF">
        <w:rPr>
          <w:sz w:val="26"/>
          <w:szCs w:val="26"/>
          <w:lang w:val="en-US"/>
        </w:rPr>
        <w:t>III</w:t>
      </w:r>
      <w:r w:rsidR="008A5EFE" w:rsidRPr="00D611DF">
        <w:rPr>
          <w:sz w:val="26"/>
          <w:szCs w:val="26"/>
        </w:rPr>
        <w:t xml:space="preserve"> место   в первенстве Уральского Федерального округа по быстрым шахматам, которое проходило в ноябре 2015 года.</w:t>
      </w:r>
      <w:r w:rsidR="008A5EFE" w:rsidRPr="00D611DF">
        <w:rPr>
          <w:sz w:val="26"/>
          <w:szCs w:val="26"/>
        </w:rPr>
        <w:tab/>
      </w:r>
    </w:p>
    <w:p w:rsidR="008A5EFE" w:rsidRPr="00D611DF" w:rsidRDefault="008A5EFE" w:rsidP="00D611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t>Традиционно в июне прошел торжественный прием Главы района, на котором 29 выпускников общеобразовательных организаций, достигших значительных успехов в области образования, стали  обладателями Гранта главы Нефтеюганского района</w:t>
      </w:r>
    </w:p>
    <w:p w:rsidR="008A5EFE" w:rsidRPr="00D611DF" w:rsidRDefault="008A5EFE" w:rsidP="001245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A5EFE" w:rsidRPr="00D611DF" w:rsidRDefault="008A5EFE" w:rsidP="001245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D611DF">
        <w:rPr>
          <w:rFonts w:ascii="Times New Roman" w:hAnsi="Times New Roman" w:cs="Times New Roman"/>
          <w:sz w:val="26"/>
          <w:szCs w:val="26"/>
          <w:u w:val="single"/>
        </w:rPr>
        <w:t>С</w:t>
      </w:r>
      <w:r w:rsidR="001245EE" w:rsidRPr="00D611DF">
        <w:rPr>
          <w:rFonts w:ascii="Times New Roman" w:hAnsi="Times New Roman" w:cs="Times New Roman"/>
          <w:sz w:val="26"/>
          <w:szCs w:val="26"/>
          <w:u w:val="single"/>
        </w:rPr>
        <w:t xml:space="preserve">оздание условий для профессионального и личностного развития педагогических работников и руководителей </w:t>
      </w:r>
    </w:p>
    <w:p w:rsidR="00D611DF" w:rsidRPr="00D611DF" w:rsidRDefault="008A5EFE" w:rsidP="00D611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t>Основополагающим условием развития образовательной системы является наличие высококвалифицированных кадров.</w:t>
      </w:r>
      <w:r w:rsidR="00D611DF" w:rsidRPr="00D611D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A5EFE" w:rsidRPr="00D611DF" w:rsidRDefault="008A5EFE" w:rsidP="00D611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t xml:space="preserve">Благодаря эффективной организации работы в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межаттестационный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 период в 2015 году 194 педагога и 5 руководителей успешно прошли процедуру аттестации (76 </w:t>
      </w:r>
      <w:r w:rsidRPr="00D611DF">
        <w:rPr>
          <w:rFonts w:ascii="Times New Roman" w:hAnsi="Times New Roman" w:cs="Times New Roman"/>
          <w:sz w:val="26"/>
          <w:szCs w:val="26"/>
        </w:rPr>
        <w:lastRenderedPageBreak/>
        <w:t>чел. на высшую квалификационную категорию, и 123 – на первую квалификационную категорию).</w:t>
      </w:r>
    </w:p>
    <w:p w:rsidR="008A5EFE" w:rsidRPr="00D611DF" w:rsidRDefault="00D611DF" w:rsidP="008A5EFE">
      <w:pPr>
        <w:pStyle w:val="1"/>
        <w:shd w:val="clear" w:color="auto" w:fill="FFFFFF"/>
        <w:tabs>
          <w:tab w:val="left" w:pos="0"/>
        </w:tabs>
        <w:jc w:val="both"/>
        <w:rPr>
          <w:b w:val="0"/>
          <w:i w:val="0"/>
          <w:sz w:val="26"/>
          <w:szCs w:val="26"/>
        </w:rPr>
      </w:pPr>
      <w:r w:rsidRPr="00D611DF">
        <w:rPr>
          <w:b w:val="0"/>
          <w:i w:val="0"/>
          <w:sz w:val="26"/>
          <w:szCs w:val="26"/>
        </w:rPr>
        <w:tab/>
      </w:r>
      <w:r w:rsidR="008A5EFE" w:rsidRPr="00D611DF">
        <w:rPr>
          <w:b w:val="0"/>
          <w:i w:val="0"/>
          <w:sz w:val="26"/>
          <w:szCs w:val="26"/>
        </w:rPr>
        <w:t xml:space="preserve">В течение года курсовыми мероприятиями в очно-заочной  форме было охвачено 498 педагогов района, из них в контексте требований Федерального государственного образовательного стандарта – 279 чел. (педагоги школ – 161 чел. и дошкольных учреждений – 118 чел.). </w:t>
      </w:r>
    </w:p>
    <w:p w:rsidR="008A5EFE" w:rsidRPr="00D611DF" w:rsidRDefault="00D611DF" w:rsidP="008A5EFE">
      <w:pPr>
        <w:pStyle w:val="a8"/>
        <w:widowControl w:val="0"/>
        <w:tabs>
          <w:tab w:val="left" w:pos="540"/>
        </w:tabs>
        <w:ind w:left="0"/>
        <w:rPr>
          <w:sz w:val="26"/>
          <w:szCs w:val="26"/>
        </w:rPr>
      </w:pPr>
      <w:r w:rsidRPr="00D611DF">
        <w:rPr>
          <w:sz w:val="26"/>
          <w:szCs w:val="26"/>
        </w:rPr>
        <w:tab/>
      </w:r>
      <w:r w:rsidR="008A5EFE" w:rsidRPr="00D611DF">
        <w:rPr>
          <w:sz w:val="26"/>
          <w:szCs w:val="26"/>
        </w:rPr>
        <w:t>Профессионализм и опыт педагогов района способствуют достижению высоких результатов в конкурсах различного уровня:</w:t>
      </w:r>
    </w:p>
    <w:p w:rsidR="008A5EFE" w:rsidRPr="00D611DF" w:rsidRDefault="00D611DF" w:rsidP="008A5EFE">
      <w:pPr>
        <w:pStyle w:val="a8"/>
        <w:widowControl w:val="0"/>
        <w:tabs>
          <w:tab w:val="left" w:pos="540"/>
        </w:tabs>
        <w:ind w:left="0"/>
        <w:rPr>
          <w:sz w:val="26"/>
          <w:szCs w:val="26"/>
        </w:rPr>
      </w:pPr>
      <w:r w:rsidRPr="00D611DF">
        <w:rPr>
          <w:sz w:val="26"/>
          <w:szCs w:val="26"/>
        </w:rPr>
        <w:tab/>
      </w:r>
      <w:r w:rsidR="008A5EFE" w:rsidRPr="00D611DF">
        <w:rPr>
          <w:sz w:val="26"/>
          <w:szCs w:val="26"/>
        </w:rPr>
        <w:t xml:space="preserve">В первом Всероссийском конкурсе «Воспитатели России» диплом первой степени был присужден </w:t>
      </w:r>
      <w:proofErr w:type="spellStart"/>
      <w:r w:rsidR="008A5EFE" w:rsidRPr="00D611DF">
        <w:rPr>
          <w:sz w:val="26"/>
          <w:szCs w:val="26"/>
        </w:rPr>
        <w:t>Мазур</w:t>
      </w:r>
      <w:proofErr w:type="spellEnd"/>
      <w:r w:rsidR="008A5EFE" w:rsidRPr="00D611DF">
        <w:rPr>
          <w:sz w:val="26"/>
          <w:szCs w:val="26"/>
        </w:rPr>
        <w:t xml:space="preserve"> </w:t>
      </w:r>
      <w:proofErr w:type="spellStart"/>
      <w:r w:rsidR="008A5EFE" w:rsidRPr="00D611DF">
        <w:rPr>
          <w:sz w:val="26"/>
          <w:szCs w:val="26"/>
        </w:rPr>
        <w:t>Наталие</w:t>
      </w:r>
      <w:proofErr w:type="spellEnd"/>
      <w:r w:rsidR="008A5EFE" w:rsidRPr="00D611DF">
        <w:rPr>
          <w:sz w:val="26"/>
          <w:szCs w:val="26"/>
        </w:rPr>
        <w:t xml:space="preserve">, воспитателю детского сада «Солнышко» </w:t>
      </w:r>
      <w:proofErr w:type="spellStart"/>
      <w:r w:rsidR="008A5EFE" w:rsidRPr="00D611DF">
        <w:rPr>
          <w:sz w:val="26"/>
          <w:szCs w:val="26"/>
        </w:rPr>
        <w:t>пгт</w:t>
      </w:r>
      <w:proofErr w:type="spellEnd"/>
      <w:r w:rsidR="008A5EFE" w:rsidRPr="00D611DF">
        <w:rPr>
          <w:sz w:val="26"/>
          <w:szCs w:val="26"/>
        </w:rPr>
        <w:t xml:space="preserve">. </w:t>
      </w:r>
      <w:proofErr w:type="spellStart"/>
      <w:r w:rsidR="008A5EFE" w:rsidRPr="00D611DF">
        <w:rPr>
          <w:sz w:val="26"/>
          <w:szCs w:val="26"/>
        </w:rPr>
        <w:t>Пойковский</w:t>
      </w:r>
      <w:proofErr w:type="spellEnd"/>
      <w:r w:rsidR="008A5EFE" w:rsidRPr="00D611DF">
        <w:rPr>
          <w:sz w:val="26"/>
          <w:szCs w:val="26"/>
        </w:rPr>
        <w:t>.</w:t>
      </w:r>
    </w:p>
    <w:p w:rsidR="008A5EFE" w:rsidRPr="00D611DF" w:rsidRDefault="00D611DF" w:rsidP="008A5EFE">
      <w:pPr>
        <w:pStyle w:val="a8"/>
        <w:widowControl w:val="0"/>
        <w:tabs>
          <w:tab w:val="left" w:pos="540"/>
        </w:tabs>
        <w:ind w:left="0"/>
        <w:rPr>
          <w:sz w:val="26"/>
          <w:szCs w:val="26"/>
        </w:rPr>
      </w:pPr>
      <w:r w:rsidRPr="00D611DF">
        <w:rPr>
          <w:sz w:val="26"/>
          <w:szCs w:val="26"/>
        </w:rPr>
        <w:tab/>
      </w:r>
      <w:r w:rsidR="008A5EFE" w:rsidRPr="00D611DF">
        <w:rPr>
          <w:sz w:val="26"/>
          <w:szCs w:val="26"/>
        </w:rPr>
        <w:t>Обладателями гранта Губернатора автономного округа стали</w:t>
      </w:r>
    </w:p>
    <w:p w:rsidR="008A5EFE" w:rsidRPr="00D611DF" w:rsidRDefault="00D611DF" w:rsidP="008A5EFE">
      <w:pPr>
        <w:pStyle w:val="a8"/>
        <w:widowControl w:val="0"/>
        <w:tabs>
          <w:tab w:val="left" w:pos="540"/>
        </w:tabs>
        <w:ind w:left="0"/>
        <w:rPr>
          <w:sz w:val="26"/>
          <w:szCs w:val="26"/>
        </w:rPr>
      </w:pPr>
      <w:r w:rsidRPr="00D611DF">
        <w:rPr>
          <w:sz w:val="26"/>
          <w:szCs w:val="26"/>
        </w:rPr>
        <w:tab/>
      </w:r>
      <w:r w:rsidR="008A5EFE" w:rsidRPr="00D611DF">
        <w:rPr>
          <w:sz w:val="26"/>
          <w:szCs w:val="26"/>
        </w:rPr>
        <w:t xml:space="preserve">- в конкурсе «Лучший педагог (преподаватель) общеобразовательной организации» - Оксана Баталова, учитель математики </w:t>
      </w:r>
      <w:proofErr w:type="spellStart"/>
      <w:r w:rsidR="008A5EFE" w:rsidRPr="00D611DF">
        <w:rPr>
          <w:sz w:val="26"/>
          <w:szCs w:val="26"/>
        </w:rPr>
        <w:t>Сингапайской</w:t>
      </w:r>
      <w:proofErr w:type="spellEnd"/>
      <w:r w:rsidR="008A5EFE" w:rsidRPr="00D611DF">
        <w:rPr>
          <w:sz w:val="26"/>
          <w:szCs w:val="26"/>
        </w:rPr>
        <w:t xml:space="preserve"> школы;</w:t>
      </w:r>
    </w:p>
    <w:p w:rsidR="008A5EFE" w:rsidRPr="00D611DF" w:rsidRDefault="00D611DF" w:rsidP="008A5EFE">
      <w:pPr>
        <w:pStyle w:val="a8"/>
        <w:widowControl w:val="0"/>
        <w:tabs>
          <w:tab w:val="left" w:pos="540"/>
        </w:tabs>
        <w:ind w:left="0"/>
        <w:rPr>
          <w:sz w:val="26"/>
          <w:szCs w:val="26"/>
        </w:rPr>
      </w:pPr>
      <w:r w:rsidRPr="00D611DF">
        <w:rPr>
          <w:sz w:val="26"/>
          <w:szCs w:val="26"/>
        </w:rPr>
        <w:tab/>
      </w:r>
      <w:r w:rsidR="008A5EFE" w:rsidRPr="00D611DF">
        <w:rPr>
          <w:sz w:val="26"/>
          <w:szCs w:val="26"/>
        </w:rPr>
        <w:t xml:space="preserve">- в конкурсе «Лучший педагог (воспитатель) дошкольной образовательной организации» - Физия </w:t>
      </w:r>
      <w:proofErr w:type="spellStart"/>
      <w:r w:rsidR="008A5EFE" w:rsidRPr="00D611DF">
        <w:rPr>
          <w:sz w:val="26"/>
          <w:szCs w:val="26"/>
        </w:rPr>
        <w:t>Ахтямова</w:t>
      </w:r>
      <w:proofErr w:type="spellEnd"/>
      <w:r w:rsidR="008A5EFE" w:rsidRPr="00D611DF">
        <w:rPr>
          <w:sz w:val="26"/>
          <w:szCs w:val="26"/>
        </w:rPr>
        <w:t xml:space="preserve">, воспитатель детского сада «Ручеёк» </w:t>
      </w:r>
      <w:proofErr w:type="spellStart"/>
      <w:r w:rsidR="008A5EFE" w:rsidRPr="00D611DF">
        <w:rPr>
          <w:sz w:val="26"/>
          <w:szCs w:val="26"/>
        </w:rPr>
        <w:t>сп</w:t>
      </w:r>
      <w:proofErr w:type="spellEnd"/>
      <w:r w:rsidR="008A5EFE" w:rsidRPr="00D611DF">
        <w:rPr>
          <w:sz w:val="26"/>
          <w:szCs w:val="26"/>
        </w:rPr>
        <w:t xml:space="preserve">. </w:t>
      </w:r>
      <w:proofErr w:type="spellStart"/>
      <w:r w:rsidR="008A5EFE" w:rsidRPr="00D611DF">
        <w:rPr>
          <w:sz w:val="26"/>
          <w:szCs w:val="26"/>
        </w:rPr>
        <w:t>Сингапай</w:t>
      </w:r>
      <w:proofErr w:type="spellEnd"/>
      <w:r w:rsidR="008A5EFE" w:rsidRPr="00D611DF">
        <w:rPr>
          <w:sz w:val="26"/>
          <w:szCs w:val="26"/>
        </w:rPr>
        <w:t>;</w:t>
      </w:r>
    </w:p>
    <w:p w:rsidR="008A5EFE" w:rsidRPr="00D611DF" w:rsidRDefault="00D611DF" w:rsidP="008A5EFE">
      <w:pPr>
        <w:pStyle w:val="a8"/>
        <w:widowControl w:val="0"/>
        <w:tabs>
          <w:tab w:val="left" w:pos="540"/>
        </w:tabs>
        <w:ind w:left="0"/>
        <w:rPr>
          <w:sz w:val="26"/>
          <w:szCs w:val="26"/>
        </w:rPr>
      </w:pPr>
      <w:r w:rsidRPr="00D611DF">
        <w:rPr>
          <w:sz w:val="26"/>
          <w:szCs w:val="26"/>
        </w:rPr>
        <w:tab/>
      </w:r>
      <w:r w:rsidR="008A5EFE" w:rsidRPr="00D611DF">
        <w:rPr>
          <w:sz w:val="26"/>
          <w:szCs w:val="26"/>
        </w:rPr>
        <w:t>- в конкурсе «Лучший педагог (преподаватель) дополнительного образования детей» - Елена Коровина, педагог «Детско-юношеской спортивной школы по шахматам им. А. Карпова.</w:t>
      </w:r>
    </w:p>
    <w:p w:rsidR="008A5EFE" w:rsidRPr="00D611DF" w:rsidRDefault="008A5EFE" w:rsidP="00D611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t xml:space="preserve">В ноябре 2015 года в I окружной выставке-конкурсе творческих проектов и работ «Окно в Лукоморье. Народное искусство детям» педагоги дополнительного образования детей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ЦРТДиЮ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 получили диплом III степени и дипломы лауреатов конкурса с коллекцией кукол «Мудрый север» и «Вдохновение».</w:t>
      </w:r>
    </w:p>
    <w:p w:rsidR="008A5EFE" w:rsidRPr="00D611DF" w:rsidRDefault="008A5EFE" w:rsidP="00D611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t xml:space="preserve">По данным Московского центра непрерывного математического образования при содействии Министерства образования и науки РФ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Пойковская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шкла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 № 1 вошла в перечень 200 лучших школ России, обеспечивающих высокий уровень подготовки выпускников. </w:t>
      </w:r>
    </w:p>
    <w:p w:rsidR="008A5EFE" w:rsidRPr="00D611DF" w:rsidRDefault="008A5EFE" w:rsidP="001245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245EE" w:rsidRPr="00D611DF" w:rsidRDefault="008A5EFE" w:rsidP="001245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D611DF">
        <w:rPr>
          <w:rFonts w:ascii="Times New Roman" w:hAnsi="Times New Roman" w:cs="Times New Roman"/>
          <w:sz w:val="26"/>
          <w:szCs w:val="26"/>
          <w:u w:val="single"/>
        </w:rPr>
        <w:t>С</w:t>
      </w:r>
      <w:r w:rsidR="001245EE" w:rsidRPr="00D611DF">
        <w:rPr>
          <w:rFonts w:ascii="Times New Roman" w:hAnsi="Times New Roman" w:cs="Times New Roman"/>
          <w:sz w:val="26"/>
          <w:szCs w:val="26"/>
          <w:u w:val="single"/>
        </w:rPr>
        <w:t xml:space="preserve">оздание комфортной образовательной среды, учитывающей особенности современного образовательного процесса и обеспечивающей условия для укрепления здоровья детей </w:t>
      </w:r>
    </w:p>
    <w:p w:rsidR="008A5EFE" w:rsidRPr="00D611DF" w:rsidRDefault="008A5EFE" w:rsidP="00D611D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611DF">
        <w:rPr>
          <w:rFonts w:ascii="Times New Roman" w:hAnsi="Times New Roman" w:cs="Times New Roman"/>
          <w:b w:val="0"/>
          <w:sz w:val="26"/>
          <w:szCs w:val="26"/>
        </w:rPr>
        <w:t>На развитие материально-технической базы образовательных организаций в соответствии с современными требованиями из разных источников финансирования было направлено 55 662,2 тыс. руб.</w:t>
      </w:r>
    </w:p>
    <w:p w:rsidR="008A5EFE" w:rsidRPr="00D611DF" w:rsidRDefault="008A5EFE" w:rsidP="00D611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t xml:space="preserve">Проведены мероприятия по комплексной безопасности образовательных организаций - укрепление санитарно-эпидемиологической, антитеррористической безопасности, благоустройство территории, повышение энергетической эффективности, ремонтные работы в пищеблоках и обеденных зонах зданий образовательных организаций. </w:t>
      </w:r>
    </w:p>
    <w:p w:rsidR="008A5EFE" w:rsidRPr="00D611DF" w:rsidRDefault="008A5EFE" w:rsidP="00D611DF">
      <w:pPr>
        <w:pStyle w:val="ab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D611DF">
        <w:rPr>
          <w:rFonts w:ascii="Times New Roman" w:hAnsi="Times New Roman"/>
          <w:bCs/>
          <w:sz w:val="26"/>
          <w:szCs w:val="26"/>
        </w:rPr>
        <w:t xml:space="preserve">По итогам конкурсного отбора из федерального бюджета и бюджета автономного округа четырем общеобразовательным организациям была предоставлена субсидия на реализацию мероприятий по созданию в общеобразовательных организациях, расположенных в сельской местности, условий для занятия физической культурой и спортом в объеме 7 963,2 тыс. руб. </w:t>
      </w:r>
    </w:p>
    <w:p w:rsidR="008A5EFE" w:rsidRPr="00D611DF" w:rsidRDefault="008A5EFE" w:rsidP="00D611DF">
      <w:pPr>
        <w:pStyle w:val="ab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D611DF">
        <w:rPr>
          <w:rFonts w:ascii="Times New Roman" w:hAnsi="Times New Roman"/>
          <w:bCs/>
          <w:sz w:val="26"/>
          <w:szCs w:val="26"/>
        </w:rPr>
        <w:t xml:space="preserve">С целью оптимизации сети образовательных организаций проведена реконструкция, и созданы условия для дополнительной группы дошкольного возраста в ДОУ «Морошка» </w:t>
      </w:r>
      <w:proofErr w:type="spellStart"/>
      <w:r w:rsidRPr="00D611DF">
        <w:rPr>
          <w:rFonts w:ascii="Times New Roman" w:hAnsi="Times New Roman"/>
          <w:bCs/>
          <w:sz w:val="26"/>
          <w:szCs w:val="26"/>
        </w:rPr>
        <w:t>сп</w:t>
      </w:r>
      <w:proofErr w:type="spellEnd"/>
      <w:r w:rsidRPr="00D611DF">
        <w:rPr>
          <w:rFonts w:ascii="Times New Roman" w:hAnsi="Times New Roman"/>
          <w:bCs/>
          <w:sz w:val="26"/>
          <w:szCs w:val="26"/>
        </w:rPr>
        <w:t xml:space="preserve">. </w:t>
      </w:r>
      <w:proofErr w:type="spellStart"/>
      <w:r w:rsidRPr="00D611DF">
        <w:rPr>
          <w:rFonts w:ascii="Times New Roman" w:hAnsi="Times New Roman"/>
          <w:bCs/>
          <w:sz w:val="26"/>
          <w:szCs w:val="26"/>
        </w:rPr>
        <w:t>Куть-Ях</w:t>
      </w:r>
      <w:proofErr w:type="spellEnd"/>
      <w:r w:rsidRPr="00D611DF">
        <w:rPr>
          <w:rFonts w:ascii="Times New Roman" w:hAnsi="Times New Roman"/>
          <w:bCs/>
          <w:sz w:val="26"/>
          <w:szCs w:val="26"/>
        </w:rPr>
        <w:t>.</w:t>
      </w:r>
    </w:p>
    <w:p w:rsidR="008A5EFE" w:rsidRPr="00D611DF" w:rsidRDefault="008A5EFE" w:rsidP="00D611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611DF">
        <w:rPr>
          <w:rFonts w:ascii="Times New Roman" w:hAnsi="Times New Roman" w:cs="Times New Roman"/>
          <w:sz w:val="26"/>
          <w:szCs w:val="26"/>
        </w:rPr>
        <w:t>Приобретено технологическое оборудование (плиты, холодильники, морозильные камеры, мясорубки и т.д.), кухонная посуда, ученическая мебель, детская мебель.</w:t>
      </w:r>
      <w:proofErr w:type="gramEnd"/>
    </w:p>
    <w:p w:rsidR="008A5EFE" w:rsidRPr="00D611DF" w:rsidRDefault="008A5EFE" w:rsidP="00D611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lastRenderedPageBreak/>
        <w:t xml:space="preserve">Обеспечено комплексное оснащение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воспитательно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>-образовательного процесса организаций дополнительного образования детей (приобретена аудио аппаратура, запчасти для картингов в «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ЦРТДиЮ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»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пгт</w:t>
      </w:r>
      <w:proofErr w:type="gramStart"/>
      <w:r w:rsidRPr="00D611DF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Pr="00D611DF">
        <w:rPr>
          <w:rFonts w:ascii="Times New Roman" w:hAnsi="Times New Roman" w:cs="Times New Roman"/>
          <w:sz w:val="26"/>
          <w:szCs w:val="26"/>
        </w:rPr>
        <w:t>ойковский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, учебное оборудование в ЦКТ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Пойковский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>. Из средств окружного бюджета оказана государственная поддержка системы дополнительного образования в виде гранта в размере 200,0 тыс. руб. «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ЦРТДиЮ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»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пгт</w:t>
      </w:r>
      <w:proofErr w:type="gramStart"/>
      <w:r w:rsidRPr="00D611DF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Pr="00D611DF">
        <w:rPr>
          <w:rFonts w:ascii="Times New Roman" w:hAnsi="Times New Roman" w:cs="Times New Roman"/>
          <w:sz w:val="26"/>
          <w:szCs w:val="26"/>
        </w:rPr>
        <w:t>ойковский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>,</w:t>
      </w:r>
    </w:p>
    <w:p w:rsidR="008A5EFE" w:rsidRPr="00D611DF" w:rsidRDefault="008A5EFE" w:rsidP="001245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6612DB" w:rsidRPr="00D611DF" w:rsidRDefault="006612DB" w:rsidP="006612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D611DF">
        <w:rPr>
          <w:rFonts w:ascii="Times New Roman" w:hAnsi="Times New Roman" w:cs="Times New Roman"/>
          <w:sz w:val="26"/>
          <w:szCs w:val="26"/>
          <w:u w:val="single"/>
        </w:rPr>
        <w:t>Поддержка и развитие инновационных технологий в образовательных организациях</w:t>
      </w:r>
    </w:p>
    <w:p w:rsidR="006612DB" w:rsidRPr="00D611DF" w:rsidRDefault="006612DB" w:rsidP="00D611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611DF">
        <w:rPr>
          <w:rFonts w:ascii="Times New Roman" w:hAnsi="Times New Roman" w:cs="Times New Roman"/>
          <w:sz w:val="26"/>
          <w:szCs w:val="26"/>
        </w:rPr>
        <w:t xml:space="preserve">В целях обеспечения модернизации и развития системы образования Нефтеюганского района, сформирована инновационная структура.   </w:t>
      </w:r>
    </w:p>
    <w:p w:rsidR="006612DB" w:rsidRPr="00D611DF" w:rsidRDefault="006612DB" w:rsidP="00D611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611DF">
        <w:rPr>
          <w:rFonts w:ascii="Times New Roman" w:hAnsi="Times New Roman" w:cs="Times New Roman"/>
          <w:sz w:val="26"/>
          <w:szCs w:val="26"/>
        </w:rPr>
        <w:t>Составляющими элементами инфраструктуры являются региональные инновационные площадки. О</w:t>
      </w:r>
      <w:r w:rsidRPr="00D611DF">
        <w:rPr>
          <w:rFonts w:ascii="Times New Roman" w:hAnsi="Times New Roman" w:cs="Times New Roman"/>
          <w:sz w:val="26"/>
          <w:szCs w:val="26"/>
          <w:lang w:eastAsia="ru-RU"/>
        </w:rPr>
        <w:t xml:space="preserve">кружными пилотными площадками по введению в действие </w:t>
      </w:r>
      <w:r w:rsidRPr="00D611DF">
        <w:rPr>
          <w:rFonts w:ascii="Times New Roman" w:hAnsi="Times New Roman" w:cs="Times New Roman"/>
          <w:sz w:val="26"/>
          <w:szCs w:val="26"/>
        </w:rPr>
        <w:t xml:space="preserve">федерального образовательного стандарта дошкольного  образования являются два детских сада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гп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Пойковский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>:</w:t>
      </w:r>
    </w:p>
    <w:p w:rsidR="006612DB" w:rsidRPr="00D611DF" w:rsidRDefault="006612DB" w:rsidP="006612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t>- «Центр развития ребенка – детский сад «Родничок»»;</w:t>
      </w:r>
    </w:p>
    <w:p w:rsidR="006612DB" w:rsidRPr="00D611DF" w:rsidRDefault="006612DB" w:rsidP="006612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t>- «Центр развития ребенка – детский сад «Теремок»».</w:t>
      </w:r>
    </w:p>
    <w:p w:rsidR="006612DB" w:rsidRPr="00D611DF" w:rsidRDefault="006612DB" w:rsidP="00D611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t>Активно работают муниципальные координационные советы по введению стандартов дошкольного, начального и основного общего образования. Все обучающиеся начальной школы учатся по новым ФГОС. С 1 сентября 2015  года пятиклассники школ района перешли на новый стандарт основного общего образования.</w:t>
      </w:r>
    </w:p>
    <w:p w:rsidR="006612DB" w:rsidRPr="00D611DF" w:rsidRDefault="006612DB" w:rsidP="00D611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t>В соответствии с требованиями стандартов во всех общеобразовательных учреждениях организована внеурочная деятельность по усилению предметных областей и дополнительному образованию. Окружной пилотной площадкой по апробации методического пособия «Внеурочная деятельность в школе. Народное искусство и художественное творчество» является Салымская средняя школа № 1.</w:t>
      </w:r>
    </w:p>
    <w:p w:rsidR="006612DB" w:rsidRPr="00D611DF" w:rsidRDefault="006612DB" w:rsidP="00D611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D611DF">
        <w:rPr>
          <w:rFonts w:ascii="Times New Roman" w:hAnsi="Times New Roman" w:cs="Times New Roman"/>
          <w:sz w:val="26"/>
          <w:szCs w:val="26"/>
          <w:lang w:eastAsia="ru-RU"/>
        </w:rPr>
        <w:t>В</w:t>
      </w:r>
      <w:r w:rsidRPr="00D611DF">
        <w:rPr>
          <w:rFonts w:ascii="Times New Roman" w:hAnsi="Times New Roman" w:cs="Times New Roman"/>
          <w:sz w:val="26"/>
          <w:szCs w:val="26"/>
        </w:rPr>
        <w:t xml:space="preserve"> 2015-2016 учебном году </w:t>
      </w:r>
      <w:r w:rsidRPr="00D611DF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Pr="00D611DF">
        <w:rPr>
          <w:rFonts w:ascii="Times New Roman" w:hAnsi="Times New Roman" w:cs="Times New Roman"/>
          <w:sz w:val="26"/>
          <w:szCs w:val="26"/>
        </w:rPr>
        <w:t xml:space="preserve">Сентябрьской средней общеобразовательной школе работает «Школа полного дня» для первоклассников, в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Куть-Яхской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 средней школе созданы условия для первоклассников в группе продленного дня, что позволяет реализовывать государственные образовательные стандарты начального общего образования в полном объеме без перегрузки обучающихся </w:t>
      </w:r>
      <w:r w:rsidRPr="00D611DF">
        <w:rPr>
          <w:rFonts w:ascii="Times New Roman" w:hAnsi="Times New Roman" w:cs="Times New Roman"/>
          <w:sz w:val="26"/>
          <w:szCs w:val="26"/>
          <w:lang w:eastAsia="ru-RU"/>
        </w:rPr>
        <w:t xml:space="preserve">и оказывать всестороннюю помощь семье в обучении, воспитании, развитии творческих и личностных способностей ребенка. </w:t>
      </w:r>
      <w:proofErr w:type="gramEnd"/>
    </w:p>
    <w:p w:rsidR="006612DB" w:rsidRPr="00D611DF" w:rsidRDefault="006612DB" w:rsidP="00D611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t xml:space="preserve">В рамках популяризации среди детей и молодежи </w:t>
      </w:r>
      <w:proofErr w:type="gramStart"/>
      <w:r w:rsidRPr="00D611DF">
        <w:rPr>
          <w:rFonts w:ascii="Times New Roman" w:hAnsi="Times New Roman" w:cs="Times New Roman"/>
          <w:sz w:val="26"/>
          <w:szCs w:val="26"/>
        </w:rPr>
        <w:t>естественно-научного</w:t>
      </w:r>
      <w:proofErr w:type="gramEnd"/>
      <w:r w:rsidRPr="00D611DF">
        <w:rPr>
          <w:rFonts w:ascii="Times New Roman" w:hAnsi="Times New Roman" w:cs="Times New Roman"/>
          <w:sz w:val="26"/>
          <w:szCs w:val="26"/>
        </w:rPr>
        <w:t xml:space="preserve"> и технических направлений в образовательных учреждениях получили распространение такие инновационные формы, как студии робототехники и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лего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>-конструирования.</w:t>
      </w:r>
      <w:r w:rsidR="00D611DF" w:rsidRPr="00D611DF">
        <w:rPr>
          <w:rFonts w:ascii="Times New Roman" w:hAnsi="Times New Roman" w:cs="Times New Roman"/>
          <w:sz w:val="26"/>
          <w:szCs w:val="26"/>
        </w:rPr>
        <w:t xml:space="preserve"> </w:t>
      </w:r>
      <w:r w:rsidRPr="00D611DF">
        <w:rPr>
          <w:rFonts w:ascii="Times New Roman" w:hAnsi="Times New Roman" w:cs="Times New Roman"/>
          <w:sz w:val="26"/>
          <w:szCs w:val="26"/>
        </w:rPr>
        <w:t xml:space="preserve">С 1 сентября 2015 года Центр компьютерных технологий ведет программу «Робототехника» (с использованием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квадрокоптеров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>) и «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Лего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-конструирование» для воспитанников детских садов, в связи </w:t>
      </w:r>
      <w:proofErr w:type="gramStart"/>
      <w:r w:rsidRPr="00D611DF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D611DF">
        <w:rPr>
          <w:rFonts w:ascii="Times New Roman" w:hAnsi="Times New Roman" w:cs="Times New Roman"/>
          <w:sz w:val="26"/>
          <w:szCs w:val="26"/>
        </w:rPr>
        <w:t xml:space="preserve"> чем в дошкольных учреждениях района «Улыбка» -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сп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Салым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, «Родничок», «Солнышко»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пг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Пойковский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, «Ручеек»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сп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Сингапай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 в летний период </w:t>
      </w:r>
      <w:proofErr w:type="gramStart"/>
      <w:r w:rsidRPr="00D611DF">
        <w:rPr>
          <w:rFonts w:ascii="Times New Roman" w:hAnsi="Times New Roman" w:cs="Times New Roman"/>
          <w:sz w:val="26"/>
          <w:szCs w:val="26"/>
        </w:rPr>
        <w:t>созданы условия и организована</w:t>
      </w:r>
      <w:proofErr w:type="gramEnd"/>
      <w:r w:rsidRPr="00D611DF">
        <w:rPr>
          <w:rFonts w:ascii="Times New Roman" w:hAnsi="Times New Roman" w:cs="Times New Roman"/>
          <w:sz w:val="26"/>
          <w:szCs w:val="26"/>
        </w:rPr>
        <w:t xml:space="preserve"> работа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лего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>-мастерских.</w:t>
      </w:r>
    </w:p>
    <w:p w:rsidR="006612DB" w:rsidRPr="00D611DF" w:rsidRDefault="006612DB" w:rsidP="00D611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t xml:space="preserve">Муниципальная сеть научно-технического направления в 2015-2016 учебном году представлена технопарком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Пойковской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 средней школы №1, шахматной школой им. Анатолия Карпова с проектом «Развитие шахматного мастерства», программой политехнического образования средней школы №2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Пойковский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, проектом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Сингапайской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 школы по развитию шахматного образования  и проектом «Развитие технического творчества» Центра компьютерных технологий.</w:t>
      </w:r>
    </w:p>
    <w:p w:rsidR="006612DB" w:rsidRPr="00D611DF" w:rsidRDefault="006612DB" w:rsidP="001245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245EE" w:rsidRPr="00D611DF" w:rsidRDefault="008A5EFE" w:rsidP="001245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  <w:u w:val="single"/>
        </w:rPr>
        <w:lastRenderedPageBreak/>
        <w:t>Р</w:t>
      </w:r>
      <w:r w:rsidR="001245EE" w:rsidRPr="00D611DF">
        <w:rPr>
          <w:rFonts w:ascii="Times New Roman" w:hAnsi="Times New Roman" w:cs="Times New Roman"/>
          <w:sz w:val="26"/>
          <w:szCs w:val="26"/>
          <w:u w:val="single"/>
        </w:rPr>
        <w:t>азвитие системы оценки качества образования и информационной прозрачности системы образования</w:t>
      </w:r>
      <w:r w:rsidR="001245EE" w:rsidRPr="00D611D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A5EFE" w:rsidRPr="00D611DF" w:rsidRDefault="008A5EFE" w:rsidP="00D611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611DF">
        <w:rPr>
          <w:rFonts w:ascii="Times New Roman" w:hAnsi="Times New Roman" w:cs="Times New Roman"/>
          <w:sz w:val="26"/>
          <w:szCs w:val="26"/>
        </w:rPr>
        <w:t xml:space="preserve">В 2015 году в районе были созданы все условия для объективного проведения ЕГЭ: установлено видеонаблюдение и защищенные каналы связи в аудиториях и штабах пунктов проведения экзаменов, обучены все руководители, организаторы в аудиториях и вне аудиторий. Информационная открытость ЕГЭ позволила оценить индивидуальные учебные достижения каждого </w:t>
      </w:r>
      <w:r w:rsidRPr="00D611DF">
        <w:rPr>
          <w:rFonts w:ascii="Times New Roman" w:hAnsi="Times New Roman" w:cs="Times New Roman"/>
          <w:sz w:val="26"/>
          <w:szCs w:val="26"/>
          <w:lang w:eastAsia="ru-RU"/>
        </w:rPr>
        <w:t xml:space="preserve">обучающегося. </w:t>
      </w:r>
    </w:p>
    <w:p w:rsidR="008A5EFE" w:rsidRPr="00D611DF" w:rsidRDefault="008A5EFE" w:rsidP="00D611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611DF">
        <w:rPr>
          <w:rFonts w:ascii="Times New Roman" w:hAnsi="Times New Roman" w:cs="Times New Roman"/>
          <w:sz w:val="26"/>
          <w:szCs w:val="26"/>
        </w:rPr>
        <w:t xml:space="preserve">В этом году выпускники  лучше </w:t>
      </w:r>
      <w:proofErr w:type="gramStart"/>
      <w:r w:rsidRPr="00D611DF">
        <w:rPr>
          <w:rFonts w:ascii="Times New Roman" w:hAnsi="Times New Roman" w:cs="Times New Roman"/>
          <w:sz w:val="26"/>
          <w:szCs w:val="26"/>
        </w:rPr>
        <w:t xml:space="preserve">сдали профильный экзамен по математике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среднетестовый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 районный балл составил</w:t>
      </w:r>
      <w:proofErr w:type="gramEnd"/>
      <w:r w:rsidRPr="00D611DF">
        <w:rPr>
          <w:rFonts w:ascii="Times New Roman" w:hAnsi="Times New Roman" w:cs="Times New Roman"/>
          <w:sz w:val="26"/>
          <w:szCs w:val="26"/>
        </w:rPr>
        <w:t xml:space="preserve"> 46,7%  (45,2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среднетестовый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 районный балл 2014 года). Значительная часть выпускников воспользовалась целевым преимуществом базового ЕГЭ по математике (средний балл по стране базового ЕГЭ по математике составил 3,95, по району – 4 балла).</w:t>
      </w:r>
    </w:p>
    <w:p w:rsidR="008A5EFE" w:rsidRPr="00D611DF" w:rsidRDefault="008A5EFE" w:rsidP="00D611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Style w:val="aa"/>
          <w:rFonts w:ascii="Times New Roman" w:hAnsi="Times New Roman" w:cs="Times New Roman"/>
          <w:b w:val="0"/>
          <w:sz w:val="26"/>
          <w:szCs w:val="26"/>
        </w:rPr>
        <w:t xml:space="preserve">Хорошие результаты в этом году у выпускников наших школ по русскому языку. Средний балл по району повысился до 71 балла (в 2014 году 66,1 баллов). </w:t>
      </w:r>
      <w:r w:rsidRPr="00D611DF">
        <w:rPr>
          <w:rFonts w:ascii="Times New Roman" w:hAnsi="Times New Roman" w:cs="Times New Roman"/>
          <w:sz w:val="26"/>
          <w:szCs w:val="26"/>
        </w:rPr>
        <w:t xml:space="preserve">Количество 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высокобалльных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 работ от 90 баллов и выше составляет более 13 % (в 2014 году 7,7%). </w:t>
      </w:r>
    </w:p>
    <w:p w:rsidR="008A5EFE" w:rsidRPr="00D611DF" w:rsidRDefault="008A5EFE" w:rsidP="00D611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t xml:space="preserve">Рекордным стало число участников, набравших по русскому языку 70 баллов и выше - 55 % (в 2014 году 36 %). Районный показатель – 36 % - </w:t>
      </w:r>
      <w:proofErr w:type="gramStart"/>
      <w:r w:rsidRPr="00D611DF">
        <w:rPr>
          <w:rFonts w:ascii="Times New Roman" w:hAnsi="Times New Roman" w:cs="Times New Roman"/>
          <w:sz w:val="26"/>
          <w:szCs w:val="26"/>
        </w:rPr>
        <w:t>держался в 2013 и 2014 годах и был</w:t>
      </w:r>
      <w:proofErr w:type="gramEnd"/>
      <w:r w:rsidRPr="00D611DF">
        <w:rPr>
          <w:rFonts w:ascii="Times New Roman" w:hAnsi="Times New Roman" w:cs="Times New Roman"/>
          <w:sz w:val="26"/>
          <w:szCs w:val="26"/>
        </w:rPr>
        <w:t xml:space="preserve"> наивысшим за всю историю проведения ЕГЭ в районе. </w:t>
      </w:r>
    </w:p>
    <w:p w:rsidR="008A5EFE" w:rsidRPr="00D611DF" w:rsidRDefault="008A5EFE" w:rsidP="001245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245EE" w:rsidRPr="00D611DF" w:rsidRDefault="006612DB" w:rsidP="006612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D611DF">
        <w:rPr>
          <w:rFonts w:ascii="Times New Roman" w:hAnsi="Times New Roman" w:cs="Times New Roman"/>
          <w:sz w:val="26"/>
          <w:szCs w:val="26"/>
          <w:u w:val="single"/>
        </w:rPr>
        <w:t>С</w:t>
      </w:r>
      <w:r w:rsidR="001245EE" w:rsidRPr="00D611DF">
        <w:rPr>
          <w:rFonts w:ascii="Times New Roman" w:hAnsi="Times New Roman" w:cs="Times New Roman"/>
          <w:sz w:val="26"/>
          <w:szCs w:val="26"/>
          <w:u w:val="single"/>
        </w:rPr>
        <w:t xml:space="preserve">оздание системы вовлечения молодежи в социальную активную деятельность </w:t>
      </w:r>
    </w:p>
    <w:p w:rsidR="006612DB" w:rsidRPr="00D611DF" w:rsidRDefault="006612DB" w:rsidP="00D611DF">
      <w:pPr>
        <w:pStyle w:val="ab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611DF">
        <w:rPr>
          <w:rFonts w:ascii="Times New Roman" w:hAnsi="Times New Roman"/>
          <w:sz w:val="26"/>
          <w:szCs w:val="26"/>
          <w:lang w:eastAsia="ru-RU"/>
        </w:rPr>
        <w:t xml:space="preserve">В целях поддержки талантливой и одаренной молодежи в течение 2015 года Премией Губернатора автономного округа был награжден 1 человек, премией главы Нефтеюганского района - 10 молодых людей. </w:t>
      </w:r>
    </w:p>
    <w:p w:rsidR="006612DB" w:rsidRPr="00D611DF" w:rsidRDefault="006612DB" w:rsidP="00D611DF">
      <w:pPr>
        <w:pStyle w:val="ab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611DF">
        <w:rPr>
          <w:rFonts w:ascii="Times New Roman" w:hAnsi="Times New Roman"/>
          <w:sz w:val="26"/>
          <w:szCs w:val="26"/>
          <w:lang w:eastAsia="ru-RU"/>
        </w:rPr>
        <w:t xml:space="preserve">Успешно реализован муниципальный этап окружного молодежного проекта «УДАР». Преподаватель – организатор ОБЖ НР МОБУ «Салымская СОШ №1» </w:t>
      </w:r>
      <w:proofErr w:type="spellStart"/>
      <w:r w:rsidRPr="00D611DF">
        <w:rPr>
          <w:rFonts w:ascii="Times New Roman" w:hAnsi="Times New Roman"/>
          <w:sz w:val="26"/>
          <w:szCs w:val="26"/>
          <w:lang w:eastAsia="ru-RU"/>
        </w:rPr>
        <w:t>Жердев</w:t>
      </w:r>
      <w:proofErr w:type="spellEnd"/>
      <w:r w:rsidRPr="00D611DF">
        <w:rPr>
          <w:rFonts w:ascii="Times New Roman" w:hAnsi="Times New Roman"/>
          <w:sz w:val="26"/>
          <w:szCs w:val="26"/>
          <w:lang w:eastAsia="ru-RU"/>
        </w:rPr>
        <w:t xml:space="preserve"> Михаил </w:t>
      </w:r>
      <w:proofErr w:type="gramStart"/>
      <w:r w:rsidRPr="00D611DF">
        <w:rPr>
          <w:rFonts w:ascii="Times New Roman" w:hAnsi="Times New Roman"/>
          <w:sz w:val="26"/>
          <w:szCs w:val="26"/>
          <w:lang w:eastAsia="ru-RU"/>
        </w:rPr>
        <w:t>стал победителем муниципального этапа Проекта и занял</w:t>
      </w:r>
      <w:proofErr w:type="gramEnd"/>
      <w:r w:rsidRPr="00D611DF">
        <w:rPr>
          <w:rFonts w:ascii="Times New Roman" w:hAnsi="Times New Roman"/>
          <w:sz w:val="26"/>
          <w:szCs w:val="26"/>
          <w:lang w:eastAsia="ru-RU"/>
        </w:rPr>
        <w:t xml:space="preserve"> 3 место на окружном этапе</w:t>
      </w:r>
    </w:p>
    <w:p w:rsidR="006612DB" w:rsidRPr="00D611DF" w:rsidRDefault="006612DB" w:rsidP="00D611DF">
      <w:pPr>
        <w:pStyle w:val="ab"/>
        <w:ind w:firstLine="708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D611DF">
        <w:rPr>
          <w:rFonts w:ascii="Times New Roman" w:hAnsi="Times New Roman"/>
          <w:sz w:val="26"/>
          <w:szCs w:val="26"/>
          <w:lang w:eastAsia="ru-RU"/>
        </w:rPr>
        <w:t xml:space="preserve">Были проведены  районные молодежные фестивали КВН учащейся и работающей молодежи, День молодежи России. Организовано участие молодежи в региональных мероприятиях - </w:t>
      </w:r>
      <w:r w:rsidRPr="00D611DF">
        <w:rPr>
          <w:rFonts w:ascii="Times New Roman" w:hAnsi="Times New Roman"/>
          <w:iCs/>
          <w:sz w:val="26"/>
          <w:szCs w:val="26"/>
          <w:lang w:eastAsia="ru-RU"/>
        </w:rPr>
        <w:t>форуме «Золотое будущее Югры», фестивале молодежных национальных объединений «Через многообразие к  единству», форуме УРФО «УТРО -2015»  и др.</w:t>
      </w:r>
    </w:p>
    <w:p w:rsidR="006612DB" w:rsidRPr="00D611DF" w:rsidRDefault="006612DB" w:rsidP="00D611DF">
      <w:pPr>
        <w:pStyle w:val="ab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D611DF">
        <w:rPr>
          <w:rFonts w:ascii="Times New Roman" w:hAnsi="Times New Roman"/>
          <w:sz w:val="26"/>
          <w:szCs w:val="26"/>
          <w:lang w:eastAsia="ru-RU"/>
        </w:rPr>
        <w:t>На конец</w:t>
      </w:r>
      <w:proofErr w:type="gramEnd"/>
      <w:r w:rsidRPr="00D611DF">
        <w:rPr>
          <w:rFonts w:ascii="Times New Roman" w:hAnsi="Times New Roman"/>
          <w:sz w:val="26"/>
          <w:szCs w:val="26"/>
          <w:lang w:eastAsia="ru-RU"/>
        </w:rPr>
        <w:t xml:space="preserve"> 2015 года в реестре талантливой молодежи Нефтеюганского района числится 82 молодых человека.</w:t>
      </w:r>
    </w:p>
    <w:p w:rsidR="006612DB" w:rsidRPr="00D611DF" w:rsidRDefault="006612DB" w:rsidP="00D611DF">
      <w:pPr>
        <w:pStyle w:val="ab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611DF">
        <w:rPr>
          <w:rFonts w:ascii="Times New Roman" w:hAnsi="Times New Roman"/>
          <w:iCs/>
          <w:sz w:val="26"/>
          <w:szCs w:val="26"/>
          <w:lang w:eastAsia="ru-RU"/>
        </w:rPr>
        <w:t xml:space="preserve">В целях обеспечения временной трудовой занятости подростков в возрасте 14 – 17 лет </w:t>
      </w:r>
      <w:r w:rsidRPr="00D611DF">
        <w:rPr>
          <w:rFonts w:ascii="Times New Roman" w:hAnsi="Times New Roman"/>
          <w:sz w:val="26"/>
          <w:szCs w:val="26"/>
          <w:lang w:eastAsia="ru-RU"/>
        </w:rPr>
        <w:t xml:space="preserve">была организована работа молодежных трудовых отрядов – окружного, районного и поселенческих.  Всего трудоустроено 717 человек в 27 организациях и предприятиях. </w:t>
      </w:r>
    </w:p>
    <w:p w:rsidR="006612DB" w:rsidRPr="00D611DF" w:rsidRDefault="006612DB" w:rsidP="00D611DF">
      <w:pPr>
        <w:pStyle w:val="ab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611DF">
        <w:rPr>
          <w:rFonts w:ascii="Times New Roman" w:hAnsi="Times New Roman"/>
          <w:sz w:val="26"/>
          <w:szCs w:val="26"/>
          <w:lang w:eastAsia="ru-RU"/>
        </w:rPr>
        <w:t>При общеобразовательных учреждениях осуществляют деятельность детские и молодежные общественные объединения и организации: детские - 13, ученические самоуправления - 10, волонтерские организации – 9. В поселениях действуют 4 клуба молодых семей, 8 советов молодежи. Общая численность участников - 2545 человек.</w:t>
      </w:r>
    </w:p>
    <w:p w:rsidR="006612DB" w:rsidRPr="00D611DF" w:rsidRDefault="006612DB" w:rsidP="00D611DF">
      <w:pPr>
        <w:pStyle w:val="ab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611DF">
        <w:rPr>
          <w:rFonts w:ascii="Times New Roman" w:hAnsi="Times New Roman"/>
          <w:sz w:val="26"/>
          <w:szCs w:val="26"/>
          <w:lang w:eastAsia="ru-RU"/>
        </w:rPr>
        <w:t xml:space="preserve">С целью поддержки и развития общественных организаций и объединений были организованы и проведены районные мероприятия -  акция «Твори добро!», акции Волонтерского корпуса 70-летия Победы,  школа и слет молодежного лидерства и </w:t>
      </w:r>
      <w:proofErr w:type="spellStart"/>
      <w:r w:rsidRPr="00D611DF">
        <w:rPr>
          <w:rFonts w:ascii="Times New Roman" w:hAnsi="Times New Roman"/>
          <w:sz w:val="26"/>
          <w:szCs w:val="26"/>
          <w:lang w:eastAsia="ru-RU"/>
        </w:rPr>
        <w:t>волонтерства</w:t>
      </w:r>
      <w:proofErr w:type="spellEnd"/>
      <w:r w:rsidRPr="00D611DF">
        <w:rPr>
          <w:rFonts w:ascii="Times New Roman" w:hAnsi="Times New Roman"/>
          <w:sz w:val="26"/>
          <w:szCs w:val="26"/>
          <w:lang w:eastAsia="ru-RU"/>
        </w:rPr>
        <w:t>, муниципальный этап всероссийского конкурса «Лидер 21века», методические совещания для руководителей объединений и др.</w:t>
      </w:r>
      <w:r w:rsidRPr="00D611DF">
        <w:rPr>
          <w:rFonts w:ascii="Times New Roman" w:hAnsi="Times New Roman"/>
          <w:sz w:val="26"/>
          <w:szCs w:val="26"/>
        </w:rPr>
        <w:tab/>
        <w:t xml:space="preserve">Победителем окружного этапа Всероссийского конкурса «Лидер 21века» стала </w:t>
      </w:r>
      <w:proofErr w:type="spellStart"/>
      <w:r w:rsidRPr="00D611DF">
        <w:rPr>
          <w:rFonts w:ascii="Times New Roman" w:hAnsi="Times New Roman"/>
          <w:sz w:val="26"/>
          <w:szCs w:val="26"/>
        </w:rPr>
        <w:lastRenderedPageBreak/>
        <w:t>Буланёва</w:t>
      </w:r>
      <w:proofErr w:type="spellEnd"/>
      <w:r w:rsidRPr="00D611DF">
        <w:rPr>
          <w:rFonts w:ascii="Times New Roman" w:hAnsi="Times New Roman"/>
          <w:sz w:val="26"/>
          <w:szCs w:val="26"/>
        </w:rPr>
        <w:t xml:space="preserve"> Юлия </w:t>
      </w:r>
      <w:proofErr w:type="spellStart"/>
      <w:r w:rsidRPr="00D611DF">
        <w:rPr>
          <w:rFonts w:ascii="Times New Roman" w:hAnsi="Times New Roman"/>
          <w:sz w:val="26"/>
          <w:szCs w:val="26"/>
        </w:rPr>
        <w:t>сп</w:t>
      </w:r>
      <w:proofErr w:type="gramStart"/>
      <w:r w:rsidRPr="00D611DF">
        <w:rPr>
          <w:rFonts w:ascii="Times New Roman" w:hAnsi="Times New Roman"/>
          <w:sz w:val="26"/>
          <w:szCs w:val="26"/>
        </w:rPr>
        <w:t>.Ч</w:t>
      </w:r>
      <w:proofErr w:type="gramEnd"/>
      <w:r w:rsidRPr="00D611DF">
        <w:rPr>
          <w:rFonts w:ascii="Times New Roman" w:hAnsi="Times New Roman"/>
          <w:sz w:val="26"/>
          <w:szCs w:val="26"/>
        </w:rPr>
        <w:t>еускино</w:t>
      </w:r>
      <w:proofErr w:type="spellEnd"/>
      <w:r w:rsidRPr="00D611DF">
        <w:rPr>
          <w:rFonts w:ascii="Times New Roman" w:hAnsi="Times New Roman"/>
          <w:sz w:val="26"/>
          <w:szCs w:val="26"/>
        </w:rPr>
        <w:t xml:space="preserve">. Лучшими волонтерами Югры признаны  Зинченко Екатерина </w:t>
      </w:r>
      <w:proofErr w:type="spellStart"/>
      <w:r w:rsidRPr="00D611DF">
        <w:rPr>
          <w:rFonts w:ascii="Times New Roman" w:hAnsi="Times New Roman"/>
          <w:sz w:val="26"/>
          <w:szCs w:val="26"/>
        </w:rPr>
        <w:t>сп</w:t>
      </w:r>
      <w:proofErr w:type="gramStart"/>
      <w:r w:rsidRPr="00D611DF">
        <w:rPr>
          <w:rFonts w:ascii="Times New Roman" w:hAnsi="Times New Roman"/>
          <w:sz w:val="26"/>
          <w:szCs w:val="26"/>
        </w:rPr>
        <w:t>.С</w:t>
      </w:r>
      <w:proofErr w:type="gramEnd"/>
      <w:r w:rsidRPr="00D611DF">
        <w:rPr>
          <w:rFonts w:ascii="Times New Roman" w:hAnsi="Times New Roman"/>
          <w:sz w:val="26"/>
          <w:szCs w:val="26"/>
        </w:rPr>
        <w:t>алым</w:t>
      </w:r>
      <w:proofErr w:type="spellEnd"/>
      <w:r w:rsidRPr="00D611DF">
        <w:rPr>
          <w:rFonts w:ascii="Times New Roman" w:hAnsi="Times New Roman"/>
          <w:sz w:val="26"/>
          <w:szCs w:val="26"/>
        </w:rPr>
        <w:t xml:space="preserve"> и Шаталова Анна </w:t>
      </w:r>
      <w:proofErr w:type="spellStart"/>
      <w:r w:rsidRPr="00D611DF">
        <w:rPr>
          <w:rFonts w:ascii="Times New Roman" w:hAnsi="Times New Roman"/>
          <w:sz w:val="26"/>
          <w:szCs w:val="26"/>
        </w:rPr>
        <w:t>гп.Пойковский</w:t>
      </w:r>
      <w:proofErr w:type="spellEnd"/>
      <w:r w:rsidRPr="00D611DF">
        <w:rPr>
          <w:rFonts w:ascii="Times New Roman" w:hAnsi="Times New Roman"/>
          <w:sz w:val="26"/>
          <w:szCs w:val="26"/>
        </w:rPr>
        <w:t>.</w:t>
      </w:r>
    </w:p>
    <w:p w:rsidR="006612DB" w:rsidRPr="00D611DF" w:rsidRDefault="006612DB" w:rsidP="00D611DF">
      <w:pPr>
        <w:pStyle w:val="ab"/>
        <w:ind w:firstLine="708"/>
        <w:jc w:val="both"/>
        <w:rPr>
          <w:rFonts w:ascii="Times New Roman" w:hAnsi="Times New Roman"/>
          <w:sz w:val="26"/>
          <w:szCs w:val="26"/>
        </w:rPr>
      </w:pPr>
      <w:r w:rsidRPr="00D611DF">
        <w:rPr>
          <w:rFonts w:ascii="Times New Roman" w:hAnsi="Times New Roman"/>
          <w:sz w:val="26"/>
          <w:szCs w:val="26"/>
        </w:rPr>
        <w:t>В течение 2015 года детскими и волонтерскими объединениями было направлено 22 проекта для участия в  районных и окружных конкурсах. Получены Гранты:</w:t>
      </w:r>
    </w:p>
    <w:p w:rsidR="006612DB" w:rsidRPr="00D611DF" w:rsidRDefault="006612DB" w:rsidP="006612DB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D611DF">
        <w:rPr>
          <w:rFonts w:ascii="Times New Roman" w:hAnsi="Times New Roman"/>
          <w:sz w:val="26"/>
          <w:szCs w:val="26"/>
        </w:rPr>
        <w:t>проект «100 дней до Победы» в размере 50,0 тыс. рублей;</w:t>
      </w:r>
    </w:p>
    <w:p w:rsidR="006612DB" w:rsidRPr="00D611DF" w:rsidRDefault="006612DB" w:rsidP="006612DB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D611DF">
        <w:rPr>
          <w:rFonts w:ascii="Times New Roman" w:hAnsi="Times New Roman"/>
          <w:sz w:val="26"/>
          <w:szCs w:val="26"/>
        </w:rPr>
        <w:t>проект «Наш двор» в размере 100,0 тыс. руб.;</w:t>
      </w:r>
    </w:p>
    <w:p w:rsidR="006612DB" w:rsidRPr="00D611DF" w:rsidRDefault="006612DB" w:rsidP="006612DB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D611DF">
        <w:rPr>
          <w:rFonts w:ascii="Times New Roman" w:hAnsi="Times New Roman"/>
          <w:sz w:val="26"/>
          <w:szCs w:val="26"/>
        </w:rPr>
        <w:t xml:space="preserve">проект по профилактике правонарушений среди несовершеннолетних и молодежи и защитой их прав в размере 50,0 тыс. руб. </w:t>
      </w:r>
    </w:p>
    <w:p w:rsidR="006612DB" w:rsidRPr="00D611DF" w:rsidRDefault="006612DB" w:rsidP="006612DB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D611DF">
        <w:rPr>
          <w:rFonts w:ascii="Times New Roman" w:hAnsi="Times New Roman"/>
          <w:sz w:val="26"/>
          <w:szCs w:val="26"/>
        </w:rPr>
        <w:t>проект «Лучший кадетский класс» в размере 33,0 тыс. руб.</w:t>
      </w:r>
    </w:p>
    <w:p w:rsidR="006612DB" w:rsidRPr="00D611DF" w:rsidRDefault="006612DB" w:rsidP="006612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245EE" w:rsidRPr="00D611DF" w:rsidRDefault="006612DB" w:rsidP="006612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D611DF">
        <w:rPr>
          <w:rFonts w:ascii="Times New Roman" w:hAnsi="Times New Roman" w:cs="Times New Roman"/>
          <w:sz w:val="26"/>
          <w:szCs w:val="26"/>
          <w:u w:val="single"/>
        </w:rPr>
        <w:t>С</w:t>
      </w:r>
      <w:r w:rsidR="001245EE" w:rsidRPr="00D611DF">
        <w:rPr>
          <w:rFonts w:ascii="Times New Roman" w:hAnsi="Times New Roman" w:cs="Times New Roman"/>
          <w:sz w:val="26"/>
          <w:szCs w:val="26"/>
          <w:u w:val="single"/>
        </w:rPr>
        <w:t xml:space="preserve">оздание условий для развития гражданско-патриотического воспитания и допризывной подготовки молодежи к военной службе </w:t>
      </w:r>
    </w:p>
    <w:p w:rsidR="001245EE" w:rsidRPr="00D611DF" w:rsidRDefault="001245EE" w:rsidP="00D611DF">
      <w:pPr>
        <w:pStyle w:val="ab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611DF">
        <w:rPr>
          <w:rFonts w:ascii="Times New Roman" w:eastAsia="Times New Roman" w:hAnsi="Times New Roman"/>
          <w:sz w:val="26"/>
          <w:szCs w:val="26"/>
          <w:lang w:eastAsia="ru-RU"/>
        </w:rPr>
        <w:t xml:space="preserve">Выстроена система патриотического воспитания: при НРМОУ ДОД «Центр развития творчества детей и юношества» </w:t>
      </w:r>
      <w:proofErr w:type="spellStart"/>
      <w:r w:rsidRPr="00D611DF">
        <w:rPr>
          <w:rFonts w:ascii="Times New Roman" w:eastAsia="Times New Roman" w:hAnsi="Times New Roman"/>
          <w:sz w:val="26"/>
          <w:szCs w:val="26"/>
          <w:lang w:eastAsia="ru-RU"/>
        </w:rPr>
        <w:t>г.п</w:t>
      </w:r>
      <w:proofErr w:type="spellEnd"/>
      <w:r w:rsidRPr="00D611DF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spellStart"/>
      <w:r w:rsidRPr="00D611DF">
        <w:rPr>
          <w:rFonts w:ascii="Times New Roman" w:eastAsia="Times New Roman" w:hAnsi="Times New Roman"/>
          <w:sz w:val="26"/>
          <w:szCs w:val="26"/>
          <w:lang w:eastAsia="ru-RU"/>
        </w:rPr>
        <w:t>Пойковский</w:t>
      </w:r>
      <w:proofErr w:type="spellEnd"/>
      <w:r w:rsidRPr="00D611DF">
        <w:rPr>
          <w:rFonts w:ascii="Times New Roman" w:eastAsia="Times New Roman" w:hAnsi="Times New Roman"/>
          <w:sz w:val="26"/>
          <w:szCs w:val="26"/>
          <w:lang w:eastAsia="ru-RU"/>
        </w:rPr>
        <w:t xml:space="preserve"> действует военно-патриотический клуб «КРОСС», при образовательных учреждениях - 4 клуба, 1 </w:t>
      </w:r>
      <w:r w:rsidRPr="00D611DF">
        <w:rPr>
          <w:rFonts w:ascii="Times New Roman" w:hAnsi="Times New Roman"/>
          <w:sz w:val="26"/>
          <w:szCs w:val="26"/>
          <w:lang w:eastAsia="ru-RU"/>
        </w:rPr>
        <w:t>центр, 2 объединения</w:t>
      </w:r>
      <w:r w:rsidRPr="00D611DF">
        <w:rPr>
          <w:rFonts w:ascii="Times New Roman" w:eastAsia="Times New Roman" w:hAnsi="Times New Roman"/>
          <w:sz w:val="26"/>
          <w:szCs w:val="26"/>
          <w:lang w:eastAsia="ru-RU"/>
        </w:rPr>
        <w:t xml:space="preserve"> военно-патриотического воспитания. Охват </w:t>
      </w:r>
      <w:r w:rsidRPr="00D611DF">
        <w:rPr>
          <w:rFonts w:ascii="Times New Roman" w:hAnsi="Times New Roman"/>
          <w:sz w:val="26"/>
          <w:szCs w:val="26"/>
          <w:lang w:eastAsia="ru-RU"/>
        </w:rPr>
        <w:t>– 196 чел.</w:t>
      </w:r>
    </w:p>
    <w:p w:rsidR="001245EE" w:rsidRPr="00D611DF" w:rsidRDefault="001245EE" w:rsidP="00D611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t xml:space="preserve">Организованы 6 школьных музеев, 4  уголка  боевой  и трудовой славы, гражданской и историко-краеведческой направленности при общеобразовательных учреждениях , 1 уголок духовно-нравственного воспитания.  </w:t>
      </w:r>
    </w:p>
    <w:p w:rsidR="001245EE" w:rsidRPr="00D611DF" w:rsidRDefault="001245EE" w:rsidP="00D611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t xml:space="preserve">В рамках подготовки  допризывной и призывной молодежи района  по основам военной службы, были проведены районные военно-патриотические мероприятия - Спартакиада допризывной и призывной молодёжи, пятидневные военно-полевые сборы для учащихся 10-х классов, </w:t>
      </w:r>
      <w:r w:rsidRPr="00D611DF">
        <w:rPr>
          <w:rFonts w:ascii="Times New Roman" w:hAnsi="Times New Roman" w:cs="Times New Roman"/>
          <w:sz w:val="26"/>
          <w:szCs w:val="26"/>
          <w:lang w:eastAsia="ru-RU"/>
        </w:rPr>
        <w:t>Слёт патриотов «Звезда Победы», районная пожарно-военизированная эстафета «ШТУРМ», соревнования по пулевой стрельбе «Юный стрелок», соревнования по пейнтболу и др.</w:t>
      </w:r>
    </w:p>
    <w:p w:rsidR="001245EE" w:rsidRPr="00D611DF" w:rsidRDefault="001245EE" w:rsidP="00D611DF">
      <w:pPr>
        <w:pStyle w:val="1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t xml:space="preserve">Организовано участие в окружном проекте «С папой в армию», фестивале патриотической песни «Я люблю тебя, Россия». </w:t>
      </w:r>
    </w:p>
    <w:p w:rsidR="007813EB" w:rsidRDefault="001245EE" w:rsidP="007813EB">
      <w:pPr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611DF">
        <w:rPr>
          <w:rFonts w:ascii="Times New Roman" w:hAnsi="Times New Roman" w:cs="Times New Roman"/>
          <w:sz w:val="26"/>
          <w:szCs w:val="26"/>
        </w:rPr>
        <w:t>Выведен рейтинг среди общеобразовательных организаций. Лидирует</w:t>
      </w:r>
      <w:r w:rsidRPr="00D611DF">
        <w:rPr>
          <w:rFonts w:ascii="Times New Roman" w:hAnsi="Times New Roman" w:cs="Times New Roman"/>
          <w:bCs/>
          <w:sz w:val="26"/>
          <w:szCs w:val="26"/>
        </w:rPr>
        <w:t xml:space="preserve"> в общем зачете по количеству призовых мест в районных мероприятиях </w:t>
      </w:r>
      <w:r w:rsidRPr="00D611DF">
        <w:rPr>
          <w:rFonts w:ascii="Times New Roman" w:hAnsi="Times New Roman" w:cs="Times New Roman"/>
          <w:sz w:val="26"/>
          <w:szCs w:val="26"/>
        </w:rPr>
        <w:t>НР МОБУ  «</w:t>
      </w:r>
      <w:proofErr w:type="spellStart"/>
      <w:r w:rsidRPr="00D611DF">
        <w:rPr>
          <w:rFonts w:ascii="Times New Roman" w:hAnsi="Times New Roman" w:cs="Times New Roman"/>
          <w:sz w:val="26"/>
          <w:szCs w:val="26"/>
        </w:rPr>
        <w:t>Пойковская</w:t>
      </w:r>
      <w:proofErr w:type="spellEnd"/>
      <w:r w:rsidRPr="00D611DF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№ 2».</w:t>
      </w:r>
    </w:p>
    <w:p w:rsidR="007813EB" w:rsidRDefault="007813EB" w:rsidP="007813EB">
      <w:pPr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42D34" w:rsidRPr="007813EB" w:rsidRDefault="007813EB" w:rsidP="007813EB">
      <w:pPr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7. </w:t>
      </w:r>
      <w:proofErr w:type="gramStart"/>
      <w:r w:rsidR="00C42D34" w:rsidRPr="001245EE">
        <w:rPr>
          <w:rFonts w:ascii="Times New Roman" w:hAnsi="Times New Roman" w:cs="Times New Roman"/>
          <w:b/>
          <w:sz w:val="26"/>
          <w:szCs w:val="26"/>
        </w:rPr>
        <w:t>Исполнение расходных обязательств муниципальной программы (</w:t>
      </w:r>
      <w:r w:rsidR="00C42D34" w:rsidRPr="001245EE">
        <w:rPr>
          <w:rFonts w:ascii="Times New Roman" w:hAnsi="Times New Roman" w:cs="Times New Roman"/>
          <w:b/>
          <w:i/>
          <w:sz w:val="26"/>
          <w:szCs w:val="26"/>
        </w:rPr>
        <w:t>информация</w:t>
      </w:r>
      <w:r w:rsidR="00C42D34" w:rsidRPr="001245E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42D34" w:rsidRPr="001245EE">
        <w:rPr>
          <w:rFonts w:ascii="Times New Roman" w:hAnsi="Times New Roman" w:cs="Times New Roman"/>
          <w:b/>
          <w:i/>
          <w:sz w:val="26"/>
          <w:szCs w:val="26"/>
        </w:rPr>
        <w:t>отражается в процентах,  в целом по м</w:t>
      </w:r>
      <w:r w:rsidR="006249DD" w:rsidRPr="001245EE">
        <w:rPr>
          <w:rFonts w:ascii="Times New Roman" w:hAnsi="Times New Roman" w:cs="Times New Roman"/>
          <w:b/>
          <w:i/>
          <w:sz w:val="26"/>
          <w:szCs w:val="26"/>
        </w:rPr>
        <w:t xml:space="preserve">униципальной программе, </w:t>
      </w:r>
      <w:r w:rsidR="00C42D34" w:rsidRPr="001245EE">
        <w:rPr>
          <w:rFonts w:ascii="Times New Roman" w:hAnsi="Times New Roman" w:cs="Times New Roman"/>
          <w:b/>
          <w:i/>
          <w:sz w:val="26"/>
          <w:szCs w:val="26"/>
        </w:rPr>
        <w:t>а так же в разрезе источников финансирования.</w:t>
      </w:r>
      <w:proofErr w:type="gramEnd"/>
      <w:r w:rsidR="00C42D34" w:rsidRPr="001245EE">
        <w:rPr>
          <w:rFonts w:ascii="Times New Roman" w:hAnsi="Times New Roman" w:cs="Times New Roman"/>
          <w:b/>
          <w:i/>
          <w:sz w:val="26"/>
          <w:szCs w:val="26"/>
        </w:rPr>
        <w:t xml:space="preserve"> Содержит информацию о том, что выполнено в рамках реализации мероприятий. </w:t>
      </w:r>
      <w:proofErr w:type="gramStart"/>
      <w:r w:rsidR="00C42D34" w:rsidRPr="001245EE">
        <w:rPr>
          <w:rFonts w:ascii="Times New Roman" w:hAnsi="Times New Roman" w:cs="Times New Roman"/>
          <w:b/>
          <w:i/>
          <w:sz w:val="26"/>
          <w:szCs w:val="26"/>
        </w:rPr>
        <w:t>В случае не освоения финансовых средств - отражаются причины).</w:t>
      </w:r>
      <w:proofErr w:type="gramEnd"/>
    </w:p>
    <w:p w:rsidR="00C358E2" w:rsidRPr="001245EE" w:rsidRDefault="00C358E2" w:rsidP="001245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245EE">
        <w:rPr>
          <w:rFonts w:ascii="Times New Roman" w:hAnsi="Times New Roman" w:cs="Times New Roman"/>
          <w:sz w:val="26"/>
          <w:szCs w:val="26"/>
        </w:rPr>
        <w:t xml:space="preserve">В целом в 2015 году на реализацию мероприятий Программы было направлено  1 559 919,5 тыс. руб. </w:t>
      </w:r>
      <w:r w:rsidRPr="001245EE">
        <w:rPr>
          <w:rFonts w:ascii="Times New Roman" w:hAnsi="Times New Roman" w:cs="Times New Roman"/>
          <w:spacing w:val="-6"/>
          <w:sz w:val="26"/>
          <w:szCs w:val="26"/>
        </w:rPr>
        <w:t>По итогам года</w:t>
      </w:r>
      <w:r w:rsidRPr="001245EE">
        <w:rPr>
          <w:rFonts w:ascii="Times New Roman" w:hAnsi="Times New Roman" w:cs="Times New Roman"/>
          <w:sz w:val="26"/>
          <w:szCs w:val="26"/>
        </w:rPr>
        <w:t xml:space="preserve"> финансовые средства израсходованы в объеме 1 551 233,4 тыс. руб., что составляет 99,4% от утвержденного плана, в том числе:</w:t>
      </w:r>
    </w:p>
    <w:p w:rsidR="00C358E2" w:rsidRPr="001245EE" w:rsidRDefault="00C358E2" w:rsidP="001245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245EE">
        <w:rPr>
          <w:rFonts w:ascii="Times New Roman" w:hAnsi="Times New Roman" w:cs="Times New Roman"/>
          <w:sz w:val="26"/>
          <w:szCs w:val="26"/>
        </w:rPr>
        <w:t xml:space="preserve">за счет средств федерального бюджета – </w:t>
      </w:r>
      <w:r w:rsidR="00265466" w:rsidRPr="001245EE">
        <w:rPr>
          <w:rFonts w:ascii="Times New Roman" w:hAnsi="Times New Roman" w:cs="Times New Roman"/>
          <w:sz w:val="26"/>
          <w:szCs w:val="26"/>
        </w:rPr>
        <w:t>100</w:t>
      </w:r>
      <w:r w:rsidR="00B15EF7" w:rsidRPr="001245EE">
        <w:rPr>
          <w:rFonts w:ascii="Times New Roman" w:hAnsi="Times New Roman" w:cs="Times New Roman"/>
          <w:sz w:val="26"/>
          <w:szCs w:val="26"/>
        </w:rPr>
        <w:t>%</w:t>
      </w:r>
    </w:p>
    <w:p w:rsidR="00C358E2" w:rsidRPr="001245EE" w:rsidRDefault="00C358E2" w:rsidP="001245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245EE">
        <w:rPr>
          <w:rFonts w:ascii="Times New Roman" w:hAnsi="Times New Roman" w:cs="Times New Roman"/>
          <w:sz w:val="26"/>
          <w:szCs w:val="26"/>
        </w:rPr>
        <w:t xml:space="preserve">за счет средств бюджета автономного округа – </w:t>
      </w:r>
      <w:r w:rsidR="00265466" w:rsidRPr="001245EE">
        <w:rPr>
          <w:rFonts w:ascii="Times New Roman" w:hAnsi="Times New Roman" w:cs="Times New Roman"/>
          <w:sz w:val="26"/>
          <w:szCs w:val="26"/>
        </w:rPr>
        <w:t>99,9%</w:t>
      </w:r>
      <w:r w:rsidRPr="001245EE">
        <w:rPr>
          <w:rFonts w:ascii="Times New Roman" w:hAnsi="Times New Roman" w:cs="Times New Roman"/>
          <w:sz w:val="26"/>
          <w:szCs w:val="26"/>
        </w:rPr>
        <w:t>;</w:t>
      </w:r>
    </w:p>
    <w:p w:rsidR="00C358E2" w:rsidRPr="001245EE" w:rsidRDefault="00C358E2" w:rsidP="001245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245EE">
        <w:rPr>
          <w:rFonts w:ascii="Times New Roman" w:hAnsi="Times New Roman" w:cs="Times New Roman"/>
          <w:sz w:val="26"/>
          <w:szCs w:val="26"/>
        </w:rPr>
        <w:t>за счет средств местного бюджета –</w:t>
      </w:r>
      <w:r w:rsidR="00265466" w:rsidRPr="001245EE">
        <w:rPr>
          <w:rFonts w:ascii="Times New Roman" w:hAnsi="Times New Roman" w:cs="Times New Roman"/>
          <w:sz w:val="26"/>
          <w:szCs w:val="26"/>
        </w:rPr>
        <w:t xml:space="preserve"> 98,9%</w:t>
      </w:r>
      <w:r w:rsidRPr="001245EE">
        <w:rPr>
          <w:rFonts w:ascii="Times New Roman" w:hAnsi="Times New Roman" w:cs="Times New Roman"/>
          <w:sz w:val="26"/>
          <w:szCs w:val="26"/>
        </w:rPr>
        <w:t>;</w:t>
      </w:r>
    </w:p>
    <w:p w:rsidR="00C358E2" w:rsidRPr="001245EE" w:rsidRDefault="00C358E2" w:rsidP="001245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245EE">
        <w:rPr>
          <w:rFonts w:ascii="Times New Roman" w:hAnsi="Times New Roman" w:cs="Times New Roman"/>
          <w:sz w:val="26"/>
          <w:szCs w:val="26"/>
        </w:rPr>
        <w:t xml:space="preserve">за счет иных источников  - </w:t>
      </w:r>
      <w:r w:rsidR="00265466" w:rsidRPr="001245EE">
        <w:rPr>
          <w:rFonts w:ascii="Times New Roman" w:hAnsi="Times New Roman" w:cs="Times New Roman"/>
          <w:sz w:val="26"/>
          <w:szCs w:val="26"/>
        </w:rPr>
        <w:t>74,6%</w:t>
      </w:r>
      <w:r w:rsidRPr="001245E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358E2" w:rsidRPr="001245EE" w:rsidRDefault="00C358E2" w:rsidP="001245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245EE">
        <w:rPr>
          <w:rFonts w:ascii="Times New Roman" w:hAnsi="Times New Roman" w:cs="Times New Roman"/>
          <w:sz w:val="26"/>
          <w:szCs w:val="26"/>
        </w:rPr>
        <w:t>Отклонение составило 8 686,1 тыс. руб.</w:t>
      </w:r>
    </w:p>
    <w:p w:rsidR="00C358E2" w:rsidRPr="001245EE" w:rsidRDefault="00C358E2" w:rsidP="001245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245EE">
        <w:rPr>
          <w:rFonts w:ascii="Times New Roman" w:hAnsi="Times New Roman" w:cs="Times New Roman"/>
          <w:sz w:val="26"/>
          <w:szCs w:val="26"/>
        </w:rPr>
        <w:t>Основные причины неисполнения:</w:t>
      </w:r>
    </w:p>
    <w:p w:rsidR="00C358E2" w:rsidRPr="001245EE" w:rsidRDefault="00C358E2" w:rsidP="001245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245EE">
        <w:rPr>
          <w:rFonts w:ascii="Times New Roman" w:hAnsi="Times New Roman" w:cs="Times New Roman"/>
          <w:sz w:val="26"/>
          <w:szCs w:val="26"/>
        </w:rPr>
        <w:t>1. Претензионная работа в отношении подрядчика в связи с нарушением существенных условий муниципального контракта по объекту «Реконструкция здания средней школы № 2 в сп. Салым»;</w:t>
      </w:r>
    </w:p>
    <w:p w:rsidR="00C358E2" w:rsidRPr="001245EE" w:rsidRDefault="00C358E2" w:rsidP="001245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245EE">
        <w:rPr>
          <w:rFonts w:ascii="Times New Roman" w:hAnsi="Times New Roman" w:cs="Times New Roman"/>
          <w:sz w:val="26"/>
          <w:szCs w:val="26"/>
        </w:rPr>
        <w:lastRenderedPageBreak/>
        <w:t>2. Претензионная работа в отношении подрядчик</w:t>
      </w:r>
      <w:proofErr w:type="gramStart"/>
      <w:r w:rsidRPr="001245EE">
        <w:rPr>
          <w:rFonts w:ascii="Times New Roman" w:hAnsi="Times New Roman" w:cs="Times New Roman"/>
          <w:sz w:val="26"/>
          <w:szCs w:val="26"/>
        </w:rPr>
        <w:t>а ООО</w:t>
      </w:r>
      <w:proofErr w:type="gramEnd"/>
      <w:r w:rsidRPr="001245EE">
        <w:rPr>
          <w:rFonts w:ascii="Times New Roman" w:hAnsi="Times New Roman" w:cs="Times New Roman"/>
          <w:sz w:val="26"/>
          <w:szCs w:val="26"/>
        </w:rPr>
        <w:t xml:space="preserve"> "Про-</w:t>
      </w:r>
      <w:proofErr w:type="spellStart"/>
      <w:r w:rsidRPr="001245EE">
        <w:rPr>
          <w:rFonts w:ascii="Times New Roman" w:hAnsi="Times New Roman" w:cs="Times New Roman"/>
          <w:sz w:val="26"/>
          <w:szCs w:val="26"/>
        </w:rPr>
        <w:t>джект</w:t>
      </w:r>
      <w:proofErr w:type="spellEnd"/>
      <w:r w:rsidRPr="001245EE">
        <w:rPr>
          <w:rFonts w:ascii="Times New Roman" w:hAnsi="Times New Roman" w:cs="Times New Roman"/>
          <w:sz w:val="26"/>
          <w:szCs w:val="26"/>
        </w:rPr>
        <w:t>" на выполнение проектно-изыскательских работ по объекту «Реконструкция существующего здания общеобразовательного учреждения, строительство дополнительного корпуса по адресу: 628327, Российская Федерация, Ханты-Мансийский автономный округ – Югра, Нефтеюганский район, сп. Салым, ул. Привокзальная, д. 16»;</w:t>
      </w:r>
    </w:p>
    <w:p w:rsidR="00C358E2" w:rsidRPr="001245EE" w:rsidRDefault="00C358E2" w:rsidP="001245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1245EE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1245EE">
        <w:rPr>
          <w:rFonts w:ascii="Times New Roman" w:hAnsi="Times New Roman" w:cs="Times New Roman"/>
          <w:sz w:val="26"/>
          <w:szCs w:val="26"/>
        </w:rPr>
        <w:t>В связи с  невозможностью обеспечения доступа инвалидов на верхние этажи здания школы без выполнения дополнительного объема работ, и отсутствием возможности изменения условий контракта (ст. 95 закона 44-ФЗ), подрядчику предложено выполнить объем работ в рамках заключенного контракта по объекту «Реконструкция здания НРБОУ ДОД «ДМШ № 1» под организацию образовательного процесса НРМОБУ «Пойковская СОШ № 2», что повлекло за собой увеличение сроков исполнения контракта</w:t>
      </w:r>
      <w:proofErr w:type="gramEnd"/>
      <w:r w:rsidRPr="001245EE">
        <w:rPr>
          <w:rFonts w:ascii="Times New Roman" w:hAnsi="Times New Roman" w:cs="Times New Roman"/>
          <w:sz w:val="26"/>
          <w:szCs w:val="26"/>
        </w:rPr>
        <w:t>.</w:t>
      </w:r>
    </w:p>
    <w:p w:rsidR="00C358E2" w:rsidRPr="001245EE" w:rsidRDefault="00C358E2" w:rsidP="001245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245EE">
        <w:rPr>
          <w:rFonts w:ascii="Times New Roman" w:hAnsi="Times New Roman" w:cs="Times New Roman"/>
          <w:spacing w:val="-4"/>
          <w:sz w:val="26"/>
          <w:szCs w:val="26"/>
        </w:rPr>
        <w:t xml:space="preserve">3. Применение пониженного </w:t>
      </w:r>
      <w:r w:rsidRPr="001245EE">
        <w:rPr>
          <w:rFonts w:ascii="Times New Roman" w:hAnsi="Times New Roman" w:cs="Times New Roman"/>
          <w:sz w:val="26"/>
          <w:szCs w:val="26"/>
        </w:rPr>
        <w:t xml:space="preserve">тарифа страховых взносов в случае достижения установленной предельной </w:t>
      </w:r>
      <w:hyperlink r:id="rId7" w:history="1">
        <w:r w:rsidRPr="001245EE">
          <w:rPr>
            <w:rFonts w:ascii="Times New Roman" w:hAnsi="Times New Roman" w:cs="Times New Roman"/>
            <w:sz w:val="26"/>
            <w:szCs w:val="26"/>
          </w:rPr>
          <w:t>величины</w:t>
        </w:r>
      </w:hyperlink>
      <w:r w:rsidRPr="001245EE">
        <w:rPr>
          <w:rFonts w:ascii="Times New Roman" w:hAnsi="Times New Roman" w:cs="Times New Roman"/>
          <w:sz w:val="26"/>
          <w:szCs w:val="26"/>
        </w:rPr>
        <w:t xml:space="preserve"> базы для начисления страховых взносов.</w:t>
      </w:r>
    </w:p>
    <w:p w:rsidR="00D83BD0" w:rsidRPr="001245EE" w:rsidRDefault="00C358E2" w:rsidP="001245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45EE">
        <w:rPr>
          <w:rFonts w:ascii="Times New Roman" w:hAnsi="Times New Roman" w:cs="Times New Roman"/>
          <w:sz w:val="26"/>
          <w:szCs w:val="26"/>
        </w:rPr>
        <w:t>Анализ исполнения финансовых показателей отражен в приложении № 2.</w:t>
      </w:r>
    </w:p>
    <w:p w:rsidR="00D83BD0" w:rsidRPr="001245EE" w:rsidRDefault="00D83BD0" w:rsidP="001245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71CE8" w:rsidRPr="001245EE" w:rsidRDefault="007813EB" w:rsidP="001245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8. </w:t>
      </w:r>
      <w:r w:rsidR="00C42D34" w:rsidRPr="001245EE">
        <w:rPr>
          <w:rFonts w:ascii="Times New Roman" w:hAnsi="Times New Roman" w:cs="Times New Roman"/>
          <w:b/>
          <w:sz w:val="26"/>
          <w:szCs w:val="26"/>
        </w:rPr>
        <w:t xml:space="preserve">Достижение целевых показателей муниципальной программы </w:t>
      </w:r>
    </w:p>
    <w:p w:rsidR="00071CE8" w:rsidRPr="001245EE" w:rsidRDefault="00071CE8" w:rsidP="001245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1245EE">
        <w:rPr>
          <w:rFonts w:ascii="Times New Roman" w:hAnsi="Times New Roman" w:cs="Times New Roman"/>
          <w:color w:val="FF0000"/>
          <w:sz w:val="26"/>
          <w:szCs w:val="26"/>
        </w:rPr>
        <w:tab/>
      </w:r>
      <w:r w:rsidRPr="001245EE">
        <w:rPr>
          <w:rFonts w:ascii="Times New Roman" w:hAnsi="Times New Roman" w:cs="Times New Roman"/>
          <w:sz w:val="26"/>
          <w:szCs w:val="26"/>
        </w:rPr>
        <w:t xml:space="preserve">За отчетный период </w:t>
      </w:r>
      <w:r w:rsidRPr="001245EE">
        <w:rPr>
          <w:rFonts w:ascii="Times New Roman" w:hAnsi="Times New Roman" w:cs="Times New Roman"/>
          <w:spacing w:val="-2"/>
          <w:sz w:val="26"/>
          <w:szCs w:val="26"/>
        </w:rPr>
        <w:t>оценка степени достижения целевых показателей проведена по 25 показателям (15 показателям непосредственных результатов и по 10 показателям конечных результатов) из них:</w:t>
      </w:r>
    </w:p>
    <w:p w:rsidR="00071CE8" w:rsidRPr="001245EE" w:rsidRDefault="00071CE8" w:rsidP="001245E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1245EE">
        <w:rPr>
          <w:rFonts w:ascii="Times New Roman" w:hAnsi="Times New Roman" w:cs="Times New Roman"/>
          <w:spacing w:val="-2"/>
          <w:sz w:val="26"/>
          <w:szCs w:val="26"/>
        </w:rPr>
        <w:t>- достигнуто запланированное годовое значение по 21 показателям;</w:t>
      </w:r>
    </w:p>
    <w:p w:rsidR="00D83BD0" w:rsidRPr="001245EE" w:rsidRDefault="00071CE8" w:rsidP="001245E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1245EE">
        <w:rPr>
          <w:rFonts w:ascii="Times New Roman" w:hAnsi="Times New Roman" w:cs="Times New Roman"/>
          <w:spacing w:val="-2"/>
          <w:sz w:val="26"/>
          <w:szCs w:val="26"/>
        </w:rPr>
        <w:t>- достигнуто от годового значения свыше 100% по 4 показателям.</w:t>
      </w:r>
    </w:p>
    <w:p w:rsidR="00D83BD0" w:rsidRPr="001245EE" w:rsidRDefault="00D83BD0" w:rsidP="001245E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C42D34" w:rsidRPr="001245EE" w:rsidRDefault="007813EB" w:rsidP="001245E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9. </w:t>
      </w:r>
      <w:r w:rsidR="00C42D34" w:rsidRPr="001245EE">
        <w:rPr>
          <w:rFonts w:ascii="Times New Roman" w:hAnsi="Times New Roman" w:cs="Times New Roman"/>
          <w:b/>
          <w:sz w:val="26"/>
          <w:szCs w:val="26"/>
        </w:rPr>
        <w:t xml:space="preserve">Анализ факторов и рисков, повлиявших на результаты реализации мероприятий муниципальной программы </w:t>
      </w:r>
      <w:r w:rsidR="00C42D34" w:rsidRPr="001245EE">
        <w:rPr>
          <w:rFonts w:ascii="Times New Roman" w:hAnsi="Times New Roman" w:cs="Times New Roman"/>
          <w:b/>
          <w:i/>
          <w:sz w:val="26"/>
          <w:szCs w:val="26"/>
        </w:rPr>
        <w:t>(какие приняты меры в целях недопущения негативного влияния факторов и рисков).</w:t>
      </w:r>
    </w:p>
    <w:p w:rsidR="00F56EC6" w:rsidRPr="007813EB" w:rsidRDefault="00F56EC6" w:rsidP="001245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813EB">
        <w:rPr>
          <w:rFonts w:ascii="Times New Roman" w:hAnsi="Times New Roman" w:cs="Times New Roman"/>
          <w:sz w:val="26"/>
          <w:szCs w:val="26"/>
        </w:rPr>
        <w:t>По итогам года запланированные целевые показатели достигнуты, однако отставание от сроков реализации программных мероприятий в части финансовых показателей имеет место быть по мероприятию 2.1 «Развитие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организаций».</w:t>
      </w:r>
      <w:proofErr w:type="gramEnd"/>
      <w:r w:rsidRPr="007813EB">
        <w:rPr>
          <w:rFonts w:ascii="Times New Roman" w:hAnsi="Times New Roman" w:cs="Times New Roman"/>
          <w:sz w:val="26"/>
          <w:szCs w:val="26"/>
        </w:rPr>
        <w:t xml:space="preserve"> Причина - невыполнение или ненадлежащее выполнение обязательств поставщиками и подрядчиками работ и как следствие претензионная работа. Для недопущения подобной ситуации необходимо:</w:t>
      </w:r>
    </w:p>
    <w:p w:rsidR="00F56EC6" w:rsidRPr="007813EB" w:rsidRDefault="00F56EC6" w:rsidP="001245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813EB">
        <w:rPr>
          <w:rFonts w:ascii="Times New Roman" w:hAnsi="Times New Roman" w:cs="Times New Roman"/>
          <w:sz w:val="26"/>
          <w:szCs w:val="26"/>
        </w:rPr>
        <w:t>- обеспечить постоянный и оперативный мониторинг за исполнением муниципальных контрактов;</w:t>
      </w:r>
    </w:p>
    <w:p w:rsidR="00F56EC6" w:rsidRPr="007813EB" w:rsidRDefault="00F56EC6" w:rsidP="001245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813EB">
        <w:rPr>
          <w:rFonts w:ascii="Times New Roman" w:hAnsi="Times New Roman" w:cs="Times New Roman"/>
          <w:sz w:val="26"/>
          <w:szCs w:val="26"/>
        </w:rPr>
        <w:t>- согласовывать действия основного исполнителя программы и соисполнителя программы;</w:t>
      </w:r>
    </w:p>
    <w:p w:rsidR="00D83BD0" w:rsidRPr="001245EE" w:rsidRDefault="00F56EC6" w:rsidP="007813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813EB">
        <w:rPr>
          <w:rFonts w:ascii="Times New Roman" w:hAnsi="Times New Roman" w:cs="Times New Roman"/>
          <w:sz w:val="26"/>
          <w:szCs w:val="26"/>
        </w:rPr>
        <w:t xml:space="preserve">- оперативно осуществлять перераспределение финансовых ресурсов в целях </w:t>
      </w:r>
      <w:r w:rsidRPr="001245EE">
        <w:rPr>
          <w:rFonts w:ascii="Times New Roman" w:hAnsi="Times New Roman" w:cs="Times New Roman"/>
          <w:sz w:val="26"/>
          <w:szCs w:val="26"/>
        </w:rPr>
        <w:t>эффективного использования бюджетных средств.</w:t>
      </w:r>
    </w:p>
    <w:p w:rsidR="007813EB" w:rsidRDefault="007813EB" w:rsidP="001245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42D34" w:rsidRPr="001245EE" w:rsidRDefault="007813EB" w:rsidP="001245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10. </w:t>
      </w:r>
      <w:r w:rsidR="00C42D34" w:rsidRPr="001245EE">
        <w:rPr>
          <w:rFonts w:ascii="Times New Roman" w:hAnsi="Times New Roman" w:cs="Times New Roman"/>
          <w:b/>
          <w:sz w:val="26"/>
          <w:szCs w:val="26"/>
        </w:rPr>
        <w:t xml:space="preserve">Оценка эффективности муниципальной программы за </w:t>
      </w:r>
      <w:r w:rsidR="00D83BD0" w:rsidRPr="001245EE">
        <w:rPr>
          <w:rFonts w:ascii="Times New Roman" w:hAnsi="Times New Roman" w:cs="Times New Roman"/>
          <w:b/>
          <w:sz w:val="26"/>
          <w:szCs w:val="26"/>
        </w:rPr>
        <w:t>2015</w:t>
      </w:r>
      <w:r w:rsidR="00C42D34" w:rsidRPr="001245EE">
        <w:rPr>
          <w:rFonts w:ascii="Times New Roman" w:hAnsi="Times New Roman" w:cs="Times New Roman"/>
          <w:b/>
          <w:sz w:val="26"/>
          <w:szCs w:val="26"/>
        </w:rPr>
        <w:t xml:space="preserve"> год </w:t>
      </w:r>
      <w:r w:rsidR="00C42D34" w:rsidRPr="001245EE">
        <w:rPr>
          <w:rFonts w:ascii="Times New Roman" w:hAnsi="Times New Roman" w:cs="Times New Roman"/>
          <w:b/>
          <w:i/>
          <w:sz w:val="26"/>
          <w:szCs w:val="26"/>
        </w:rPr>
        <w:t>(результаты оценки по баллам).</w:t>
      </w:r>
    </w:p>
    <w:p w:rsidR="00D83BD0" w:rsidRPr="001245EE" w:rsidRDefault="008C2878" w:rsidP="006726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245EE">
        <w:rPr>
          <w:rFonts w:ascii="Times New Roman" w:hAnsi="Times New Roman" w:cs="Times New Roman"/>
          <w:sz w:val="26"/>
          <w:szCs w:val="26"/>
        </w:rPr>
        <w:t>Оценка эффективности муниципальной программы за 2015 год отражена в приложении № 1, результат оценки составил 25 баллов.</w:t>
      </w:r>
    </w:p>
    <w:p w:rsidR="007813EB" w:rsidRDefault="007813EB" w:rsidP="001245E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42D34" w:rsidRDefault="007813EB" w:rsidP="001245E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11. </w:t>
      </w:r>
      <w:proofErr w:type="gramStart"/>
      <w:r w:rsidR="00C42D34" w:rsidRPr="001245EE">
        <w:rPr>
          <w:rFonts w:ascii="Times New Roman" w:hAnsi="Times New Roman" w:cs="Times New Roman"/>
          <w:b/>
          <w:sz w:val="26"/>
          <w:szCs w:val="26"/>
        </w:rPr>
        <w:t>Предложения по корректировке муниципальной программы (в части целевых показателей, мероприятий, задач по итогам реализации за отчетный период.</w:t>
      </w:r>
      <w:proofErr w:type="gramEnd"/>
    </w:p>
    <w:p w:rsidR="006726C4" w:rsidRPr="006726C4" w:rsidRDefault="006726C4" w:rsidP="001245E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726C4">
        <w:rPr>
          <w:rFonts w:ascii="Times New Roman" w:hAnsi="Times New Roman" w:cs="Times New Roman"/>
          <w:sz w:val="26"/>
          <w:szCs w:val="26"/>
        </w:rPr>
        <w:lastRenderedPageBreak/>
        <w:t xml:space="preserve">Привести в соответствие с </w:t>
      </w:r>
      <w:r w:rsidRPr="006726C4">
        <w:rPr>
          <w:rFonts w:ascii="Times New Roman" w:hAnsi="Times New Roman" w:cs="Times New Roman"/>
          <w:sz w:val="26"/>
          <w:szCs w:val="26"/>
        </w:rPr>
        <w:t>государственной программ</w:t>
      </w:r>
      <w:r w:rsidRPr="006726C4">
        <w:rPr>
          <w:rFonts w:ascii="Times New Roman" w:hAnsi="Times New Roman" w:cs="Times New Roman"/>
          <w:sz w:val="26"/>
          <w:szCs w:val="26"/>
        </w:rPr>
        <w:t>ой</w:t>
      </w:r>
      <w:r w:rsidRPr="006726C4">
        <w:rPr>
          <w:rFonts w:ascii="Times New Roman" w:hAnsi="Times New Roman" w:cs="Times New Roman"/>
          <w:sz w:val="26"/>
          <w:szCs w:val="26"/>
        </w:rPr>
        <w:t xml:space="preserve"> ХМАО – Югры «Развитие образования в ХМАО – Югре на 2016-2020 годы», утвержденной постановлением правительства ХМАО – Югры от 09.10.2010 № 413-п</w:t>
      </w:r>
      <w:r w:rsidRPr="006726C4">
        <w:rPr>
          <w:rFonts w:ascii="Times New Roman" w:hAnsi="Times New Roman" w:cs="Times New Roman"/>
          <w:sz w:val="26"/>
          <w:szCs w:val="26"/>
        </w:rPr>
        <w:t xml:space="preserve"> ц</w:t>
      </w:r>
      <w:r w:rsidRPr="006726C4">
        <w:rPr>
          <w:rFonts w:ascii="Times New Roman" w:hAnsi="Times New Roman" w:cs="Times New Roman"/>
          <w:sz w:val="26"/>
          <w:szCs w:val="26"/>
        </w:rPr>
        <w:t>елевые показатели</w:t>
      </w:r>
      <w:r w:rsidRPr="006726C4">
        <w:rPr>
          <w:rFonts w:ascii="Times New Roman" w:hAnsi="Times New Roman" w:cs="Times New Roman"/>
          <w:sz w:val="26"/>
          <w:szCs w:val="26"/>
        </w:rPr>
        <w:t>, перечень и сроки объектов к</w:t>
      </w:r>
      <w:r w:rsidRPr="006726C4">
        <w:rPr>
          <w:rFonts w:ascii="Times New Roman" w:hAnsi="Times New Roman" w:cs="Times New Roman"/>
          <w:color w:val="000000"/>
          <w:sz w:val="26"/>
          <w:szCs w:val="26"/>
        </w:rPr>
        <w:t>апитального строительства.</w:t>
      </w:r>
    </w:p>
    <w:p w:rsidR="007813EB" w:rsidRPr="006726C4" w:rsidRDefault="007813EB" w:rsidP="001245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2DC4" w:rsidRPr="001245EE" w:rsidRDefault="00E72DC4" w:rsidP="004A0BEF">
      <w:pPr>
        <w:pStyle w:val="a3"/>
        <w:ind w:left="0"/>
        <w:jc w:val="both"/>
        <w:rPr>
          <w:sz w:val="26"/>
          <w:szCs w:val="26"/>
        </w:rPr>
      </w:pPr>
      <w:bookmarkStart w:id="0" w:name="_GoBack"/>
      <w:bookmarkEnd w:id="0"/>
    </w:p>
    <w:p w:rsidR="00E72DC4" w:rsidRPr="001245EE" w:rsidRDefault="00E72DC4" w:rsidP="004A0BEF">
      <w:pPr>
        <w:pStyle w:val="a3"/>
        <w:ind w:left="0"/>
        <w:jc w:val="both"/>
        <w:rPr>
          <w:sz w:val="26"/>
          <w:szCs w:val="26"/>
        </w:rPr>
      </w:pPr>
    </w:p>
    <w:p w:rsidR="009042BC" w:rsidRPr="001245EE" w:rsidRDefault="009042BC" w:rsidP="00310946">
      <w:pPr>
        <w:pStyle w:val="a3"/>
        <w:ind w:left="360"/>
        <w:jc w:val="both"/>
        <w:rPr>
          <w:sz w:val="26"/>
          <w:szCs w:val="26"/>
        </w:rPr>
      </w:pPr>
    </w:p>
    <w:p w:rsidR="00E5706A" w:rsidRPr="001245EE" w:rsidRDefault="00310946" w:rsidP="0064635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245EE">
        <w:rPr>
          <w:rFonts w:ascii="Times New Roman" w:hAnsi="Times New Roman" w:cs="Times New Roman"/>
          <w:sz w:val="26"/>
          <w:szCs w:val="26"/>
        </w:rPr>
        <w:t>Ответственный исполнитель</w:t>
      </w:r>
      <w:r w:rsidR="00E5706A" w:rsidRPr="001245EE">
        <w:rPr>
          <w:rFonts w:ascii="Times New Roman" w:hAnsi="Times New Roman" w:cs="Times New Roman"/>
          <w:sz w:val="26"/>
          <w:szCs w:val="26"/>
        </w:rPr>
        <w:t xml:space="preserve">     </w:t>
      </w:r>
      <w:r w:rsidR="002C5BE1" w:rsidRPr="001245EE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E5706A" w:rsidRPr="001245EE">
        <w:rPr>
          <w:rFonts w:ascii="Times New Roman" w:hAnsi="Times New Roman" w:cs="Times New Roman"/>
          <w:sz w:val="26"/>
          <w:szCs w:val="26"/>
        </w:rPr>
        <w:t xml:space="preserve">  ______________            </w:t>
      </w:r>
      <w:r w:rsidR="00E72DC4" w:rsidRPr="001245EE">
        <w:rPr>
          <w:rFonts w:ascii="Times New Roman" w:hAnsi="Times New Roman" w:cs="Times New Roman"/>
          <w:sz w:val="26"/>
          <w:szCs w:val="26"/>
        </w:rPr>
        <w:t xml:space="preserve">         Котова Н.В.</w:t>
      </w:r>
    </w:p>
    <w:p w:rsidR="00955454" w:rsidRPr="001245EE" w:rsidRDefault="00310946" w:rsidP="0064635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245EE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="001C1599" w:rsidRPr="001245EE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2C5BE1" w:rsidRPr="001245EE">
        <w:rPr>
          <w:rFonts w:ascii="Times New Roman" w:hAnsi="Times New Roman" w:cs="Times New Roman"/>
          <w:sz w:val="26"/>
          <w:szCs w:val="26"/>
        </w:rPr>
        <w:t xml:space="preserve">        </w:t>
      </w:r>
      <w:r w:rsidR="00955454" w:rsidRPr="001245EE">
        <w:rPr>
          <w:rFonts w:ascii="Times New Roman" w:hAnsi="Times New Roman" w:cs="Times New Roman"/>
          <w:sz w:val="26"/>
          <w:szCs w:val="26"/>
        </w:rPr>
        <w:t xml:space="preserve"> </w:t>
      </w:r>
      <w:r w:rsidR="00E5706A" w:rsidRPr="001245EE">
        <w:rPr>
          <w:rFonts w:ascii="Times New Roman" w:hAnsi="Times New Roman" w:cs="Times New Roman"/>
          <w:sz w:val="26"/>
          <w:szCs w:val="26"/>
        </w:rPr>
        <w:t>подпись</w:t>
      </w:r>
    </w:p>
    <w:p w:rsidR="005F3FEA" w:rsidRPr="001245EE" w:rsidRDefault="005F3FEA" w:rsidP="00285621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:rsidR="00B20871" w:rsidRPr="001245EE" w:rsidRDefault="00B20871" w:rsidP="00285621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:rsidR="00B20871" w:rsidRPr="001245EE" w:rsidRDefault="00B20871" w:rsidP="00285621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:rsidR="00B20871" w:rsidRPr="001245EE" w:rsidRDefault="00B20871" w:rsidP="00285621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:rsidR="00E72DC4" w:rsidRPr="001245EE" w:rsidRDefault="00E72DC4" w:rsidP="00285621">
      <w:pPr>
        <w:spacing w:after="0" w:line="240" w:lineRule="auto"/>
        <w:ind w:firstLine="357"/>
        <w:jc w:val="center"/>
        <w:rPr>
          <w:rFonts w:ascii="Times New Roman" w:hAnsi="Times New Roman" w:cs="Times New Roman"/>
          <w:sz w:val="26"/>
          <w:szCs w:val="26"/>
        </w:rPr>
      </w:pPr>
    </w:p>
    <w:p w:rsidR="00285621" w:rsidRPr="001245EE" w:rsidRDefault="00E72DC4" w:rsidP="0028562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245EE">
        <w:rPr>
          <w:rFonts w:ascii="Times New Roman" w:hAnsi="Times New Roman" w:cs="Times New Roman"/>
          <w:sz w:val="26"/>
          <w:szCs w:val="26"/>
        </w:rPr>
        <w:t>Кофанова О.А.</w:t>
      </w:r>
    </w:p>
    <w:p w:rsidR="00E24EE2" w:rsidRPr="001245EE" w:rsidRDefault="00E72DC4" w:rsidP="0028562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245EE">
        <w:rPr>
          <w:rFonts w:ascii="Times New Roman" w:hAnsi="Times New Roman" w:cs="Times New Roman"/>
          <w:sz w:val="26"/>
          <w:szCs w:val="26"/>
        </w:rPr>
        <w:t>22-32-79</w:t>
      </w:r>
    </w:p>
    <w:sectPr w:rsidR="00E24EE2" w:rsidRPr="001245EE" w:rsidSect="00C42D34">
      <w:pgSz w:w="11906" w:h="16838"/>
      <w:pgMar w:top="1134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A65B4"/>
    <w:multiLevelType w:val="hybridMultilevel"/>
    <w:tmpl w:val="BC8CC844"/>
    <w:lvl w:ilvl="0" w:tplc="A7DAD34C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6A20CC9"/>
    <w:multiLevelType w:val="hybridMultilevel"/>
    <w:tmpl w:val="78C2099A"/>
    <w:lvl w:ilvl="0" w:tplc="0419000F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110BDD"/>
    <w:multiLevelType w:val="hybridMultilevel"/>
    <w:tmpl w:val="27484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EA5903"/>
    <w:multiLevelType w:val="hybridMultilevel"/>
    <w:tmpl w:val="FDEC0F70"/>
    <w:lvl w:ilvl="0" w:tplc="017E76D4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BF04A49"/>
    <w:multiLevelType w:val="multilevel"/>
    <w:tmpl w:val="64B4C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>
    <w:nsid w:val="7A107B64"/>
    <w:multiLevelType w:val="hybridMultilevel"/>
    <w:tmpl w:val="0ECE46A0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FD7263C"/>
    <w:multiLevelType w:val="multilevel"/>
    <w:tmpl w:val="857EDC0C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isLgl/>
      <w:lvlText w:val="%1.%2."/>
      <w:lvlJc w:val="left"/>
      <w:pPr>
        <w:ind w:left="2138" w:hanging="72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498" w:hanging="1080"/>
      </w:pPr>
    </w:lvl>
    <w:lvl w:ilvl="4">
      <w:start w:val="1"/>
      <w:numFmt w:val="decimal"/>
      <w:isLgl/>
      <w:lvlText w:val="%1.%2.%3.%4.%5."/>
      <w:lvlJc w:val="left"/>
      <w:pPr>
        <w:ind w:left="2498" w:hanging="1080"/>
      </w:pPr>
    </w:lvl>
    <w:lvl w:ilvl="5">
      <w:start w:val="1"/>
      <w:numFmt w:val="decimal"/>
      <w:isLgl/>
      <w:lvlText w:val="%1.%2.%3.%4.%5.%6."/>
      <w:lvlJc w:val="left"/>
      <w:pPr>
        <w:ind w:left="2858" w:hanging="1440"/>
      </w:pPr>
    </w:lvl>
    <w:lvl w:ilvl="6">
      <w:start w:val="1"/>
      <w:numFmt w:val="decimal"/>
      <w:isLgl/>
      <w:lvlText w:val="%1.%2.%3.%4.%5.%6.%7."/>
      <w:lvlJc w:val="left"/>
      <w:pPr>
        <w:ind w:left="3218" w:hanging="1800"/>
      </w:p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9BB"/>
    <w:rsid w:val="00051B9F"/>
    <w:rsid w:val="00063ED5"/>
    <w:rsid w:val="00071CE8"/>
    <w:rsid w:val="00071DE7"/>
    <w:rsid w:val="00072A01"/>
    <w:rsid w:val="000B6301"/>
    <w:rsid w:val="000E2EC3"/>
    <w:rsid w:val="000E3602"/>
    <w:rsid w:val="00104DB3"/>
    <w:rsid w:val="00112779"/>
    <w:rsid w:val="00122031"/>
    <w:rsid w:val="001245EE"/>
    <w:rsid w:val="0012498D"/>
    <w:rsid w:val="00163C74"/>
    <w:rsid w:val="0016431D"/>
    <w:rsid w:val="00182FEE"/>
    <w:rsid w:val="001C1599"/>
    <w:rsid w:val="00247C89"/>
    <w:rsid w:val="002567E6"/>
    <w:rsid w:val="00260F09"/>
    <w:rsid w:val="00265466"/>
    <w:rsid w:val="00266B74"/>
    <w:rsid w:val="00271E39"/>
    <w:rsid w:val="00285621"/>
    <w:rsid w:val="002A532E"/>
    <w:rsid w:val="002C5BE1"/>
    <w:rsid w:val="002C78B2"/>
    <w:rsid w:val="002E6254"/>
    <w:rsid w:val="00300AF1"/>
    <w:rsid w:val="00310946"/>
    <w:rsid w:val="00360469"/>
    <w:rsid w:val="00371EA1"/>
    <w:rsid w:val="0037433E"/>
    <w:rsid w:val="003825E0"/>
    <w:rsid w:val="00382FF3"/>
    <w:rsid w:val="003D4586"/>
    <w:rsid w:val="00421DE2"/>
    <w:rsid w:val="00423EA4"/>
    <w:rsid w:val="00430287"/>
    <w:rsid w:val="00436CC0"/>
    <w:rsid w:val="0044727F"/>
    <w:rsid w:val="00450010"/>
    <w:rsid w:val="004664B0"/>
    <w:rsid w:val="00472BBE"/>
    <w:rsid w:val="00480A6C"/>
    <w:rsid w:val="0048141F"/>
    <w:rsid w:val="004A0BEF"/>
    <w:rsid w:val="004A44A9"/>
    <w:rsid w:val="004C24D5"/>
    <w:rsid w:val="004C7B12"/>
    <w:rsid w:val="004D0968"/>
    <w:rsid w:val="004E6066"/>
    <w:rsid w:val="00503953"/>
    <w:rsid w:val="00552B3E"/>
    <w:rsid w:val="00565C2D"/>
    <w:rsid w:val="005B106F"/>
    <w:rsid w:val="005D5629"/>
    <w:rsid w:val="005F3FEA"/>
    <w:rsid w:val="005F6B87"/>
    <w:rsid w:val="00605B4B"/>
    <w:rsid w:val="006249DD"/>
    <w:rsid w:val="0064635F"/>
    <w:rsid w:val="006612DB"/>
    <w:rsid w:val="006726C4"/>
    <w:rsid w:val="0069789E"/>
    <w:rsid w:val="006A1BC6"/>
    <w:rsid w:val="006B2758"/>
    <w:rsid w:val="006B7E86"/>
    <w:rsid w:val="006D2E03"/>
    <w:rsid w:val="00721923"/>
    <w:rsid w:val="00752CEF"/>
    <w:rsid w:val="00752E71"/>
    <w:rsid w:val="00767720"/>
    <w:rsid w:val="0078060B"/>
    <w:rsid w:val="007813EB"/>
    <w:rsid w:val="007C1D5C"/>
    <w:rsid w:val="008127FC"/>
    <w:rsid w:val="00820539"/>
    <w:rsid w:val="00836E74"/>
    <w:rsid w:val="0088673C"/>
    <w:rsid w:val="008A5EFE"/>
    <w:rsid w:val="008C2878"/>
    <w:rsid w:val="00903DCB"/>
    <w:rsid w:val="009042BC"/>
    <w:rsid w:val="00923F97"/>
    <w:rsid w:val="009313BD"/>
    <w:rsid w:val="00947B38"/>
    <w:rsid w:val="00955454"/>
    <w:rsid w:val="009779BB"/>
    <w:rsid w:val="009C402A"/>
    <w:rsid w:val="009E6AEB"/>
    <w:rsid w:val="009F32E5"/>
    <w:rsid w:val="00A217CD"/>
    <w:rsid w:val="00A51BD5"/>
    <w:rsid w:val="00A53548"/>
    <w:rsid w:val="00A71427"/>
    <w:rsid w:val="00A97AD2"/>
    <w:rsid w:val="00AA1621"/>
    <w:rsid w:val="00AC34AC"/>
    <w:rsid w:val="00AC399C"/>
    <w:rsid w:val="00AC4C1B"/>
    <w:rsid w:val="00AD42AB"/>
    <w:rsid w:val="00B02F71"/>
    <w:rsid w:val="00B112F0"/>
    <w:rsid w:val="00B1247E"/>
    <w:rsid w:val="00B15EF7"/>
    <w:rsid w:val="00B20871"/>
    <w:rsid w:val="00B211A4"/>
    <w:rsid w:val="00B21289"/>
    <w:rsid w:val="00B475D0"/>
    <w:rsid w:val="00B47E01"/>
    <w:rsid w:val="00B5194E"/>
    <w:rsid w:val="00B52780"/>
    <w:rsid w:val="00B61761"/>
    <w:rsid w:val="00B666FF"/>
    <w:rsid w:val="00B74E88"/>
    <w:rsid w:val="00B81CCA"/>
    <w:rsid w:val="00BA1708"/>
    <w:rsid w:val="00BC46A9"/>
    <w:rsid w:val="00BD283F"/>
    <w:rsid w:val="00BF5973"/>
    <w:rsid w:val="00BF6DE7"/>
    <w:rsid w:val="00C109D5"/>
    <w:rsid w:val="00C358E2"/>
    <w:rsid w:val="00C40427"/>
    <w:rsid w:val="00C42D34"/>
    <w:rsid w:val="00C57639"/>
    <w:rsid w:val="00C7569D"/>
    <w:rsid w:val="00C805B5"/>
    <w:rsid w:val="00CA49A2"/>
    <w:rsid w:val="00CB0EF5"/>
    <w:rsid w:val="00CD544A"/>
    <w:rsid w:val="00CD7C21"/>
    <w:rsid w:val="00CF5A52"/>
    <w:rsid w:val="00D24B96"/>
    <w:rsid w:val="00D25C9E"/>
    <w:rsid w:val="00D42579"/>
    <w:rsid w:val="00D611DF"/>
    <w:rsid w:val="00D62A1F"/>
    <w:rsid w:val="00D644D9"/>
    <w:rsid w:val="00D80B88"/>
    <w:rsid w:val="00D83073"/>
    <w:rsid w:val="00D83BD0"/>
    <w:rsid w:val="00DC67C2"/>
    <w:rsid w:val="00DF1914"/>
    <w:rsid w:val="00DF5C2F"/>
    <w:rsid w:val="00E00E66"/>
    <w:rsid w:val="00E16104"/>
    <w:rsid w:val="00E24706"/>
    <w:rsid w:val="00E24EE2"/>
    <w:rsid w:val="00E43DAC"/>
    <w:rsid w:val="00E5706A"/>
    <w:rsid w:val="00E72DC4"/>
    <w:rsid w:val="00E77ED9"/>
    <w:rsid w:val="00E97EC0"/>
    <w:rsid w:val="00EA404D"/>
    <w:rsid w:val="00EA64EB"/>
    <w:rsid w:val="00F37928"/>
    <w:rsid w:val="00F50310"/>
    <w:rsid w:val="00F56EC6"/>
    <w:rsid w:val="00F64A55"/>
    <w:rsid w:val="00FA7045"/>
    <w:rsid w:val="00FC3C67"/>
    <w:rsid w:val="00FE1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3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4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31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B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47B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947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947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A535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A53548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A535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A5354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paragraph" w:customStyle="1" w:styleId="ConsPlusTitle">
    <w:name w:val="ConsPlusTitle"/>
    <w:rsid w:val="00A535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a">
    <w:name w:val="Strong"/>
    <w:uiPriority w:val="22"/>
    <w:qFormat/>
    <w:rsid w:val="00A53548"/>
    <w:rPr>
      <w:b/>
      <w:bCs w:val="0"/>
    </w:rPr>
  </w:style>
  <w:style w:type="paragraph" w:styleId="ab">
    <w:name w:val="No Spacing"/>
    <w:uiPriority w:val="1"/>
    <w:qFormat/>
    <w:rsid w:val="0069789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">
    <w:name w:val="Без интервала1"/>
    <w:rsid w:val="0069789E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c">
    <w:name w:val="Знак Знак Знак Знак"/>
    <w:basedOn w:val="a"/>
    <w:rsid w:val="00051B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annotation reference"/>
    <w:basedOn w:val="a0"/>
    <w:uiPriority w:val="99"/>
    <w:semiHidden/>
    <w:unhideWhenUsed/>
    <w:rsid w:val="00271E3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71E3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71E39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71E3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71E39"/>
    <w:rPr>
      <w:b/>
      <w:bCs/>
      <w:sz w:val="20"/>
      <w:szCs w:val="20"/>
    </w:rPr>
  </w:style>
  <w:style w:type="character" w:styleId="af2">
    <w:name w:val="Hyperlink"/>
    <w:basedOn w:val="a0"/>
    <w:uiPriority w:val="99"/>
    <w:semiHidden/>
    <w:unhideWhenUsed/>
    <w:rsid w:val="00CD54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3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4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31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B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47B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947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947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A535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A53548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A535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A5354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paragraph" w:customStyle="1" w:styleId="ConsPlusTitle">
    <w:name w:val="ConsPlusTitle"/>
    <w:rsid w:val="00A535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a">
    <w:name w:val="Strong"/>
    <w:uiPriority w:val="22"/>
    <w:qFormat/>
    <w:rsid w:val="00A53548"/>
    <w:rPr>
      <w:b/>
      <w:bCs w:val="0"/>
    </w:rPr>
  </w:style>
  <w:style w:type="paragraph" w:styleId="ab">
    <w:name w:val="No Spacing"/>
    <w:uiPriority w:val="1"/>
    <w:qFormat/>
    <w:rsid w:val="0069789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">
    <w:name w:val="Без интервала1"/>
    <w:rsid w:val="0069789E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c">
    <w:name w:val="Знак Знак Знак Знак"/>
    <w:basedOn w:val="a"/>
    <w:rsid w:val="00051B9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annotation reference"/>
    <w:basedOn w:val="a0"/>
    <w:uiPriority w:val="99"/>
    <w:semiHidden/>
    <w:unhideWhenUsed/>
    <w:rsid w:val="00271E3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71E3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71E39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71E3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71E39"/>
    <w:rPr>
      <w:b/>
      <w:bCs/>
      <w:sz w:val="20"/>
      <w:szCs w:val="20"/>
    </w:rPr>
  </w:style>
  <w:style w:type="character" w:styleId="af2">
    <w:name w:val="Hyperlink"/>
    <w:basedOn w:val="a0"/>
    <w:uiPriority w:val="99"/>
    <w:semiHidden/>
    <w:unhideWhenUsed/>
    <w:rsid w:val="00CD54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9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D1EE8FA95D209B38835B96BF5AB5FA82EE056D38E9808B1FC2AD015D9CD5360813DE89B2E9F47A1a0h1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oil.ru/duma/resheniya/2015/27-05-2015/600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9</Pages>
  <Words>3605</Words>
  <Characters>20552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Остальцова Елена Ивановна</dc:creator>
  <cp:keywords/>
  <dc:description/>
  <cp:lastModifiedBy>Кофанова Ольга Александровна</cp:lastModifiedBy>
  <cp:revision>140</cp:revision>
  <cp:lastPrinted>2016-03-15T12:35:00Z</cp:lastPrinted>
  <dcterms:created xsi:type="dcterms:W3CDTF">2015-03-31T07:13:00Z</dcterms:created>
  <dcterms:modified xsi:type="dcterms:W3CDTF">2016-03-18T12:24:00Z</dcterms:modified>
</cp:coreProperties>
</file>