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6D" w:rsidRPr="00632CED" w:rsidRDefault="002D746D" w:rsidP="002D746D">
      <w:pPr>
        <w:tabs>
          <w:tab w:val="left" w:pos="1134"/>
          <w:tab w:val="left" w:pos="1418"/>
        </w:tabs>
        <w:ind w:left="567"/>
        <w:jc w:val="center"/>
        <w:rPr>
          <w:b/>
          <w:color w:val="000000"/>
          <w:sz w:val="26"/>
          <w:szCs w:val="26"/>
        </w:rPr>
      </w:pPr>
      <w:r w:rsidRPr="00632CED">
        <w:rPr>
          <w:b/>
          <w:color w:val="000000"/>
          <w:sz w:val="26"/>
          <w:szCs w:val="26"/>
        </w:rPr>
        <w:t>Информация по показателям эффективности противодействия коррупции, предусмотренным Порядк</w:t>
      </w:r>
      <w:r>
        <w:rPr>
          <w:b/>
          <w:color w:val="000000"/>
          <w:sz w:val="26"/>
          <w:szCs w:val="26"/>
        </w:rPr>
        <w:t>ом</w:t>
      </w:r>
      <w:r w:rsidRPr="00632CED">
        <w:rPr>
          <w:b/>
          <w:color w:val="000000"/>
          <w:sz w:val="26"/>
          <w:szCs w:val="26"/>
        </w:rPr>
        <w:t xml:space="preserve"> проведения антикоррупционного мониторинга </w:t>
      </w:r>
      <w:proofErr w:type="gramStart"/>
      <w:r w:rsidRPr="00632CED">
        <w:rPr>
          <w:b/>
          <w:color w:val="000000"/>
          <w:sz w:val="26"/>
          <w:szCs w:val="26"/>
        </w:rPr>
        <w:t>в</w:t>
      </w:r>
      <w:proofErr w:type="gramEnd"/>
      <w:r w:rsidRPr="00632CED">
        <w:rPr>
          <w:b/>
          <w:color w:val="000000"/>
          <w:sz w:val="26"/>
          <w:szCs w:val="26"/>
        </w:rPr>
        <w:t xml:space="preserve"> </w:t>
      </w:r>
      <w:proofErr w:type="gramStart"/>
      <w:r w:rsidRPr="00632CED">
        <w:rPr>
          <w:b/>
          <w:color w:val="000000"/>
          <w:sz w:val="26"/>
          <w:szCs w:val="26"/>
        </w:rPr>
        <w:t>Нефтеюганском</w:t>
      </w:r>
      <w:proofErr w:type="gramEnd"/>
      <w:r w:rsidRPr="00632CED">
        <w:rPr>
          <w:b/>
          <w:color w:val="000000"/>
          <w:sz w:val="26"/>
          <w:szCs w:val="26"/>
        </w:rPr>
        <w:t xml:space="preserve"> районе, утвержденн</w:t>
      </w:r>
      <w:r>
        <w:rPr>
          <w:b/>
          <w:color w:val="000000"/>
          <w:sz w:val="26"/>
          <w:szCs w:val="26"/>
        </w:rPr>
        <w:t>ы</w:t>
      </w:r>
      <w:r w:rsidRPr="00632CED">
        <w:rPr>
          <w:b/>
          <w:color w:val="000000"/>
          <w:sz w:val="26"/>
          <w:szCs w:val="26"/>
        </w:rPr>
        <w:t>м постановлением Главы Нефтеюганского района от 05.11.2014 № 149-п</w:t>
      </w:r>
    </w:p>
    <w:p w:rsidR="001C704D" w:rsidRDefault="004A59FA" w:rsidP="002D746D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sz w:val="24"/>
          <w:szCs w:val="24"/>
        </w:rPr>
        <w:t xml:space="preserve">(за </w:t>
      </w:r>
      <w:r w:rsidR="002D746D">
        <w:rPr>
          <w:sz w:val="24"/>
          <w:szCs w:val="24"/>
          <w:lang w:val="en-US"/>
        </w:rPr>
        <w:t>I</w:t>
      </w:r>
      <w:r w:rsidR="002D746D">
        <w:rPr>
          <w:sz w:val="24"/>
          <w:szCs w:val="24"/>
        </w:rPr>
        <w:t xml:space="preserve"> квартал 201</w:t>
      </w:r>
      <w:r w:rsidR="0020004E">
        <w:rPr>
          <w:sz w:val="24"/>
          <w:szCs w:val="24"/>
        </w:rPr>
        <w:t>8</w:t>
      </w:r>
      <w:r w:rsidR="002D746D">
        <w:rPr>
          <w:sz w:val="24"/>
          <w:szCs w:val="24"/>
        </w:rPr>
        <w:t xml:space="preserve"> года</w:t>
      </w:r>
      <w:r>
        <w:rPr>
          <w:sz w:val="24"/>
          <w:szCs w:val="24"/>
        </w:rPr>
        <w:t>)</w:t>
      </w:r>
    </w:p>
    <w:p w:rsidR="001C704D" w:rsidRDefault="001C704D" w:rsidP="001C704D">
      <w:pPr>
        <w:jc w:val="center"/>
        <w:rPr>
          <w:sz w:val="26"/>
          <w:szCs w:val="26"/>
        </w:rPr>
      </w:pPr>
    </w:p>
    <w:tbl>
      <w:tblPr>
        <w:tblW w:w="156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562"/>
        <w:gridCol w:w="5131"/>
        <w:gridCol w:w="2665"/>
        <w:gridCol w:w="2382"/>
        <w:gridCol w:w="2257"/>
      </w:tblGrid>
      <w:tr w:rsidR="002D746D" w:rsidRPr="00C044DB" w:rsidTr="00C2369E">
        <w:trPr>
          <w:trHeight w:val="10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Основные направления  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антикоррупционного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мониторинга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Показатели эффективности противодействия коррупции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Нефтеюганском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районе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20004E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1 квартал 201</w:t>
            </w:r>
            <w:r w:rsidR="0020004E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АППГ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D2384B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Основание </w:t>
            </w:r>
          </w:p>
        </w:tc>
      </w:tr>
    </w:tbl>
    <w:p w:rsidR="001C704D" w:rsidRDefault="001C704D" w:rsidP="001C704D">
      <w:pPr>
        <w:rPr>
          <w:sz w:val="2"/>
          <w:szCs w:val="2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103"/>
        <w:gridCol w:w="2693"/>
        <w:gridCol w:w="2410"/>
        <w:gridCol w:w="2126"/>
      </w:tblGrid>
      <w:tr w:rsidR="00A12E95" w:rsidRPr="00C044DB" w:rsidTr="009C1A8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12E95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2275FB" w:rsidRDefault="001C704D" w:rsidP="00C044DB">
            <w:pPr>
              <w:jc w:val="both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 xml:space="preserve">Обобщение результатов антикоррупционной экспертизы нормативных правовых актов Нефтеюганского района и проектов нормативных правовых актов Нефтеюганского района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2275FB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1. Соотношение количества выявленных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 к количеству нормативных правовых актов Нефтеюганского района, в отношении которых проводилась антикоррупционная экспертиза.    </w:t>
            </w:r>
          </w:p>
          <w:p w:rsidR="001C704D" w:rsidRPr="002275FB" w:rsidRDefault="001C704D" w:rsidP="00871EA8">
            <w:pPr>
              <w:pStyle w:val="ConsPlusTitle"/>
              <w:widowControl/>
              <w:tabs>
                <w:tab w:val="left" w:pos="696"/>
              </w:tabs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Соотношение количества нормативных правовых актов Нефтеюганского района, в которых выявлены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которые были внесены изменения в целях устранения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 </w:t>
            </w:r>
          </w:p>
          <w:p w:rsidR="001C704D" w:rsidRPr="002275FB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Соотношение количества нормативных правовых актов Нефтеюганского района, в отношении которых органами прокуратуры, юстиции и независимыми экспертами были выявлены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отношении которых внутренняя антикоррупционная экспертиза не выявила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</w:t>
            </w:r>
          </w:p>
          <w:p w:rsidR="001C704D" w:rsidRPr="002275FB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4. Соотношение количества проектов нормативных правовых актов Нефтеюганского района, в отношении которых проведена независимая антикоррупционная экспертиза, к </w:t>
            </w: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общему количеству подготовленных проектов нормативных правовых актов Нефтеюганского района.</w:t>
            </w:r>
          </w:p>
          <w:p w:rsidR="001C704D" w:rsidRPr="002275FB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Доля принятых нормативных правовых актов Нефтеюганского района, в которых после проведения внутренней антикоррупционной экспертизы проектов указанных нормативных правовых актов Нефтеюганского района, органами прокуратуры, юстиции выявлены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(с которыми уполномоченный орган, проводивший внутреннюю антикоррупционную экспертизу проектов указанных нормативных правовых актов Нефтеюганского района,    согласился либо по которым имеется вступившее в законную силу решение суда).</w:t>
            </w:r>
            <w:proofErr w:type="gramEnd"/>
          </w:p>
          <w:p w:rsidR="001C704D" w:rsidRPr="002275FB" w:rsidRDefault="001C704D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Соотношение количества нормативных правовых актов Нефтеюганского района, в которых по результатам рассмотрения экспертных заключений и актов прокурорского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реагирования, выявленные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были</w:t>
            </w:r>
            <w:proofErr w:type="gram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устранены, к количеству нормативных правовых актов Нефтеюганского района, в которых выявленные коррупционные факторы устранены не были.</w:t>
            </w:r>
          </w:p>
          <w:p w:rsidR="001C704D" w:rsidRPr="002275FB" w:rsidRDefault="001C704D" w:rsidP="00871EA8">
            <w:pPr>
              <w:pStyle w:val="ConsPlusTitle"/>
              <w:rPr>
                <w:rFonts w:eastAsia="Calibri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лиц, осуществляющих антикоррупционную экспертизу и имеющих специальную квалификацию (прошедших специальную дополнительную подготовку), к количеству лиц, осуществляющих антикоррупционную экспертизу и не имеющих специальной квалификации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0/</w:t>
            </w:r>
            <w:r w:rsidR="00316BFE" w:rsidRPr="002275FB">
              <w:rPr>
                <w:rFonts w:eastAsia="Calibri"/>
                <w:lang w:eastAsia="en-US"/>
              </w:rPr>
              <w:t>6</w:t>
            </w:r>
            <w:r w:rsidRPr="002275FB">
              <w:rPr>
                <w:rFonts w:eastAsia="Calibri"/>
                <w:lang w:eastAsia="en-US"/>
              </w:rPr>
              <w:t>8</w:t>
            </w: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</w:t>
            </w:r>
            <w:r w:rsidR="00316BFE" w:rsidRPr="002275FB">
              <w:rPr>
                <w:rFonts w:eastAsia="Calibri"/>
                <w:lang w:eastAsia="en-US"/>
              </w:rPr>
              <w:t>6</w:t>
            </w:r>
            <w:r w:rsidRPr="002275FB">
              <w:rPr>
                <w:rFonts w:eastAsia="Calibri"/>
                <w:lang w:eastAsia="en-US"/>
              </w:rPr>
              <w:t>8</w:t>
            </w: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316BF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68</w:t>
            </w:r>
            <w:r w:rsidR="0020004E" w:rsidRPr="002275FB">
              <w:rPr>
                <w:rFonts w:eastAsia="Calibri"/>
                <w:lang w:eastAsia="en-US"/>
              </w:rPr>
              <w:t>/</w:t>
            </w:r>
            <w:r w:rsidRPr="002275FB">
              <w:rPr>
                <w:rFonts w:eastAsia="Calibri"/>
                <w:lang w:eastAsia="en-US"/>
              </w:rPr>
              <w:t>6</w:t>
            </w:r>
            <w:r w:rsidR="0020004E" w:rsidRPr="002275FB">
              <w:rPr>
                <w:rFonts w:eastAsia="Calibri"/>
                <w:lang w:eastAsia="en-US"/>
              </w:rPr>
              <w:t>8</w:t>
            </w: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0%</w:t>
            </w: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3/1</w:t>
            </w: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D2384B" w:rsidRPr="002275FB" w:rsidRDefault="00D2384B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EA8" w:rsidRPr="002275FB" w:rsidRDefault="00316BF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0/81</w:t>
            </w: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1C704D" w:rsidRPr="002275FB" w:rsidRDefault="001C704D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316BF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0/81</w:t>
            </w: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316BF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81</w:t>
            </w:r>
            <w:r w:rsidR="00871EA8" w:rsidRPr="002275FB">
              <w:rPr>
                <w:rFonts w:eastAsia="Calibri"/>
                <w:lang w:eastAsia="en-US"/>
              </w:rPr>
              <w:t>/</w:t>
            </w:r>
            <w:r w:rsidRPr="002275FB">
              <w:rPr>
                <w:rFonts w:eastAsia="Calibri"/>
                <w:lang w:eastAsia="en-US"/>
              </w:rPr>
              <w:t>81</w:t>
            </w: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  <w:r w:rsidR="00D80112" w:rsidRPr="002275FB">
              <w:rPr>
                <w:rFonts w:eastAsia="Calibri"/>
                <w:lang w:eastAsia="en-US"/>
              </w:rPr>
              <w:t>%</w:t>
            </w: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20004E" w:rsidRPr="002275FB" w:rsidRDefault="0020004E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3/1</w:t>
            </w: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  <w:p w:rsidR="00871EA8" w:rsidRPr="002275FB" w:rsidRDefault="00871EA8" w:rsidP="0020004E">
            <w:pPr>
              <w:ind w:right="3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1AC" w:rsidRPr="002275FB" w:rsidRDefault="006741AC" w:rsidP="00871EA8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 xml:space="preserve">Аналитическая справка юридического комитета администрации Нефтеюганского района от </w:t>
            </w:r>
            <w:r w:rsidR="00316BFE" w:rsidRPr="002275FB">
              <w:rPr>
                <w:rFonts w:eastAsia="Calibri"/>
                <w:lang w:eastAsia="en-US"/>
              </w:rPr>
              <w:t>06.04.2018 №18-исх-326</w:t>
            </w:r>
          </w:p>
          <w:p w:rsidR="00FB6AFB" w:rsidRPr="002275FB" w:rsidRDefault="00FB6AFB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6741AC" w:rsidRPr="002275FB" w:rsidRDefault="006741AC" w:rsidP="00871EA8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 xml:space="preserve">Аналитическая справка Думы  Нефтеюганского района от </w:t>
            </w:r>
            <w:r w:rsidR="00316BFE" w:rsidRPr="002275FB">
              <w:rPr>
                <w:rFonts w:eastAsia="Calibri"/>
                <w:lang w:eastAsia="en-US"/>
              </w:rPr>
              <w:t>10.04.2018 № 16-исх-145</w:t>
            </w:r>
          </w:p>
          <w:p w:rsidR="006741AC" w:rsidRPr="002275FB" w:rsidRDefault="006741AC" w:rsidP="00871EA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12E95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2275FB" w:rsidRDefault="001C704D">
            <w:pPr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2275FB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2275FB">
              <w:rPr>
                <w:rFonts w:eastAsia="Calibri"/>
                <w:lang w:eastAsia="en-US"/>
              </w:rPr>
              <w:t xml:space="preserve"> соблюдением    </w:t>
            </w:r>
            <w:r w:rsidRPr="002275FB">
              <w:rPr>
                <w:rFonts w:eastAsia="Calibri"/>
                <w:lang w:eastAsia="en-US"/>
              </w:rPr>
              <w:br/>
              <w:t>муниципальными служащими Нефтеюганского района, установленных обязанностей, ограничений, запретов и требований к служебному поведению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1. Численность муниципальных служащих органов местного самоуправления Нефтеюганского района.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Количество муниципальных служащих, замещающих должности муниципальной службы Нефтеюганского района, включенные в утвержденный муниципальным правовым актом перечень должностей муниципальной службы, и замещение которых предусматривает обязанность представления сведений о доходах, расходах, об имуществе и обязательствах имущественного характера (далее – муниципальные служащие, замещающие должности, включенные в соответствующий перечень).</w:t>
            </w:r>
            <w:proofErr w:type="gramEnd"/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3. Количество муниципальных служащих Нефтеюганского района:</w:t>
            </w:r>
          </w:p>
          <w:p w:rsidR="001C704D" w:rsidRPr="002275FB" w:rsidRDefault="001C704D" w:rsidP="00C044DB">
            <w:pPr>
              <w:pStyle w:val="ConsPlusTitle"/>
              <w:widowControl/>
              <w:ind w:left="3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- допустивших нарушения требований антикоррупционного законодательства;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привлеченных к дисциплинарной ответственности за нарушения требований антикоррупционного законодательства; 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осужденных за преступления коррупционной направленности, по которым приговор суда вступил в законную силу; 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в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отношении</w:t>
            </w:r>
            <w:proofErr w:type="gram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которых уголовные дела о преступлениях коррупционной направленности прекращены по </w:t>
            </w:r>
            <w:proofErr w:type="spell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нереабилитирующим</w:t>
            </w:r>
            <w:proofErr w:type="spell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основаниям.</w:t>
            </w:r>
          </w:p>
          <w:p w:rsidR="001C704D" w:rsidRPr="002275FB" w:rsidRDefault="001C704D" w:rsidP="00C044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 xml:space="preserve">4. Количество муниципальных служащих Нефтеюганского района,  (в том числе количество муниципальных служащих, замещающие должности, включенные в соответствующий перечень), в отношении </w:t>
            </w:r>
            <w:r w:rsidRPr="002275FB">
              <w:rPr>
                <w:rFonts w:eastAsia="Calibri"/>
                <w:lang w:eastAsia="en-US"/>
              </w:rPr>
              <w:lastRenderedPageBreak/>
              <w:t>которых проводились проверки соблюдения ими обязанностей, ограничений, запретов и требований к служебному поведению.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Количество поступивших на муниципальных служащих Нефтеюганского района, замещающих должности, включенные в соответствующий перечень, по фактам правонарушений коррупционной направленности: 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жалоб от граждан и организаций; 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протестов, представлений органов прокуратуры; 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частных определений суда; 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- предписаний контролирующих органов.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6. Соотношение количества поступивших обращений граждан и организаций по вопросам коррупционных проявлений со стороны муниципальных служащих Нефтеюганского района, к количеству обращений по которым доводы заявителя подтвердились.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коррупционных правонарушений, выявленных в результате внутреннего контроля, к количеству правонарушений коррупционной направленности, выявленных органами прокуратуры и иными правоохранительными и контролирующими органами.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8. Количество материалов проверок по фактам совершения коррупционных правонарушений, рассмотренных комиссией по соблюдению требований к служебному поведению муниципальных служащих Нефтеюганского района и урегулированию конфликта </w:t>
            </w: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интересов.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9. Соотношение количества проведенных  проверок соблюдения муниципальными служащими Нефтеюганского района обязанностей, ограничений, запретов и требований к служебному поведению к количеству установленных фактов несоблюдения муниципальными служащими Нефтеюганского района обязанностей, ограничений, запретов и требований к служебному поведению.</w:t>
            </w:r>
          </w:p>
          <w:p w:rsidR="001C704D" w:rsidRPr="002275FB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10. Количество муниципальных служащих Нефтеюганского района, в должностные обязанности которых входит участие в противодействии коррупции, прошедших повышение квалификации, по соответствующим образовательным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23</w:t>
            </w:r>
            <w:r w:rsidR="00A12B88" w:rsidRPr="002275FB">
              <w:rPr>
                <w:rFonts w:eastAsia="Calibri"/>
                <w:lang w:eastAsia="en-US"/>
              </w:rPr>
              <w:t>6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A12B88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121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0374A7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2275FB" w:rsidRDefault="008A2365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365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23</w:t>
            </w:r>
            <w:r w:rsidR="00A12B88" w:rsidRPr="002275FB">
              <w:rPr>
                <w:rFonts w:eastAsia="Calibri"/>
                <w:lang w:eastAsia="en-US"/>
              </w:rPr>
              <w:t>5</w:t>
            </w:r>
          </w:p>
          <w:p w:rsidR="000374A7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A12B88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65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</w:t>
            </w:r>
          </w:p>
          <w:p w:rsidR="00963EF0" w:rsidRPr="002275FB" w:rsidRDefault="00963EF0" w:rsidP="00963EF0">
            <w:pPr>
              <w:rPr>
                <w:rFonts w:eastAsia="Calibri"/>
                <w:lang w:eastAsia="en-US"/>
              </w:rPr>
            </w:pPr>
          </w:p>
          <w:p w:rsidR="00963EF0" w:rsidRPr="002275FB" w:rsidRDefault="00963EF0" w:rsidP="00963EF0">
            <w:pPr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963EF0" w:rsidRPr="002275FB" w:rsidRDefault="00963EF0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0374A7" w:rsidRPr="002275FB" w:rsidRDefault="000374A7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2275FB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2275FB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2275FB" w:rsidRDefault="008A2365" w:rsidP="008A2365">
            <w:pPr>
              <w:jc w:val="center"/>
              <w:rPr>
                <w:rFonts w:eastAsia="Calibri"/>
                <w:lang w:eastAsia="en-US"/>
              </w:rPr>
            </w:pPr>
          </w:p>
          <w:p w:rsidR="008A2365" w:rsidRPr="002275FB" w:rsidRDefault="008A2365" w:rsidP="000374A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2275FB" w:rsidRDefault="00C402E4" w:rsidP="00FB6AF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 xml:space="preserve">Аналитическая справка </w:t>
            </w:r>
            <w:proofErr w:type="spellStart"/>
            <w:r w:rsidRPr="002275FB">
              <w:rPr>
                <w:rFonts w:eastAsia="Calibri"/>
                <w:lang w:eastAsia="en-US"/>
              </w:rPr>
              <w:t>ОКиМС</w:t>
            </w:r>
            <w:proofErr w:type="spellEnd"/>
            <w:r w:rsidRPr="002275FB">
              <w:rPr>
                <w:rFonts w:eastAsia="Calibri"/>
                <w:lang w:eastAsia="en-US"/>
              </w:rPr>
              <w:t xml:space="preserve"> от </w:t>
            </w:r>
            <w:r w:rsidR="00F45771" w:rsidRPr="002275FB">
              <w:rPr>
                <w:rFonts w:eastAsia="Calibri"/>
                <w:lang w:eastAsia="en-US"/>
              </w:rPr>
              <w:t>10.04.2018 №19-исх-73</w:t>
            </w:r>
          </w:p>
        </w:tc>
      </w:tr>
      <w:tr w:rsidR="00A12E95" w:rsidRPr="00C044DB" w:rsidTr="009C1A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A8063D" w:rsidRDefault="001C704D" w:rsidP="00A8063D">
            <w:pPr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A8063D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A8063D">
              <w:rPr>
                <w:rFonts w:eastAsia="Calibri"/>
                <w:lang w:eastAsia="en-US"/>
              </w:rPr>
              <w:t xml:space="preserve"> исполнением    </w:t>
            </w:r>
            <w:r w:rsidRPr="00A8063D">
              <w:rPr>
                <w:rFonts w:eastAsia="Calibri"/>
                <w:lang w:eastAsia="en-US"/>
              </w:rPr>
              <w:br/>
              <w:t xml:space="preserve">органами местного самоуправления        Нефтеюганского района своих полномочий по реализации муниципальной функции (предоставлению муниципальной услуги)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2275FB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1. Общие показатели:</w:t>
            </w:r>
          </w:p>
          <w:p w:rsidR="001C704D" w:rsidRPr="002275FB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1) количество исполняемых муниципальных функций</w:t>
            </w:r>
          </w:p>
          <w:p w:rsidR="001C704D" w:rsidRPr="002275FB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2) соотношение количества муниципальных служащих, замещающих должности, включенные в соответствующий перечень, исполняющих муниципальные функции, к общему количеству муниципальных служащих Нефтеюганского района;</w:t>
            </w:r>
          </w:p>
          <w:p w:rsidR="001C704D" w:rsidRPr="002275FB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3) количество предоставляемых муниципальных услуг</w:t>
            </w:r>
          </w:p>
          <w:p w:rsidR="001C704D" w:rsidRPr="002275FB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4) соотношение количества муниципальных служащих Нефтеюганского района, замещающих должности, включенные в соответствующий перечень, предоставляющих муниципальные услуги, к общему количеству    муниципальных служащих Нефтеюганского района;</w:t>
            </w:r>
          </w:p>
          <w:p w:rsidR="001C704D" w:rsidRPr="002275FB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5) соотношение количества муниципальных функций (услуг), исполняемых (предоставляемых) в наиболее коррупционно опасных сферах деятельности, к количеству муниципальных функций (услуг), исполнение (предоставление) которых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обеспечена</w:t>
            </w:r>
            <w:proofErr w:type="gram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  <w:p w:rsidR="001C704D" w:rsidRPr="002275FB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6) количество многофункциональных центров оказания государственных и муниципальных услуг и их территориально обособленных структурных подразделений (ТОСП)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Нефтеюганском</w:t>
            </w:r>
            <w:proofErr w:type="gramEnd"/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районе;</w:t>
            </w:r>
          </w:p>
          <w:p w:rsidR="001C704D" w:rsidRPr="002275FB" w:rsidRDefault="001C704D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2275FB">
              <w:rPr>
                <w:rFonts w:eastAsia="Calibri"/>
                <w:b w:val="0"/>
                <w:sz w:val="24"/>
                <w:szCs w:val="24"/>
                <w:lang w:eastAsia="en-US"/>
              </w:rPr>
              <w:t>7) соотношение количества жалоб получателей муниципальных услуг на факты коррупционных проявлений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регламенты, к общему количеству получателей муниципальных услуг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регламенты;</w:t>
            </w:r>
          </w:p>
          <w:p w:rsidR="001C704D" w:rsidRPr="002275FB" w:rsidRDefault="001C704D" w:rsidP="00A8063D">
            <w:pPr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8) количество решений, вынесенных в пользу граждан по обращениям на нарушения муниципальными служащими Нефтеюганского района законности при предоставлении муниципальных услуг к общему количеству таковых жалоб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2275FB" w:rsidRDefault="001C704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F45771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6</w:t>
            </w: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12B88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10</w:t>
            </w:r>
            <w:r w:rsidR="00A8063D" w:rsidRPr="002275FB">
              <w:rPr>
                <w:rFonts w:eastAsia="Calibri"/>
                <w:lang w:eastAsia="en-US"/>
              </w:rPr>
              <w:t>/23</w:t>
            </w:r>
            <w:r w:rsidRPr="002275FB">
              <w:rPr>
                <w:rFonts w:eastAsia="Calibri"/>
                <w:lang w:eastAsia="en-US"/>
              </w:rPr>
              <w:t>6</w:t>
            </w: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12B88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31</w:t>
            </w: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</w:t>
            </w:r>
            <w:r w:rsidR="00A12B88" w:rsidRPr="002275FB">
              <w:rPr>
                <w:rFonts w:eastAsia="Calibri"/>
                <w:lang w:eastAsia="en-US"/>
              </w:rPr>
              <w:t>8</w:t>
            </w:r>
            <w:r w:rsidRPr="002275FB">
              <w:rPr>
                <w:rFonts w:eastAsia="Calibri"/>
                <w:lang w:eastAsia="en-US"/>
              </w:rPr>
              <w:t>/23</w:t>
            </w:r>
            <w:r w:rsidR="00A12B88" w:rsidRPr="002275FB">
              <w:rPr>
                <w:rFonts w:eastAsia="Calibri"/>
                <w:lang w:eastAsia="en-US"/>
              </w:rPr>
              <w:t>6</w:t>
            </w: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4(1</w:t>
            </w:r>
            <w:r w:rsidR="00A12B88" w:rsidRPr="002275FB">
              <w:rPr>
                <w:rFonts w:eastAsia="Calibri"/>
                <w:lang w:eastAsia="en-US"/>
              </w:rPr>
              <w:t>8</w:t>
            </w:r>
            <w:r w:rsidRPr="002275FB">
              <w:rPr>
                <w:rFonts w:eastAsia="Calibri"/>
                <w:lang w:eastAsia="en-US"/>
              </w:rPr>
              <w:t>) / 4(1</w:t>
            </w:r>
            <w:r w:rsidR="00A12B88" w:rsidRPr="002275FB">
              <w:rPr>
                <w:rFonts w:eastAsia="Calibri"/>
                <w:lang w:eastAsia="en-US"/>
              </w:rPr>
              <w:t>8</w:t>
            </w:r>
            <w:r w:rsidRPr="002275FB">
              <w:rPr>
                <w:rFonts w:eastAsia="Calibri"/>
                <w:lang w:eastAsia="en-US"/>
              </w:rPr>
              <w:t>)</w:t>
            </w: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1 МФЦ и 8 ТОСП</w:t>
            </w: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2275FB" w:rsidRDefault="001C704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4</w:t>
            </w: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12B88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9</w:t>
            </w:r>
            <w:r w:rsidR="00A8063D" w:rsidRPr="002275FB">
              <w:rPr>
                <w:rFonts w:eastAsia="Calibri"/>
                <w:lang w:eastAsia="en-US"/>
              </w:rPr>
              <w:t>/</w:t>
            </w:r>
            <w:r w:rsidRPr="002275FB">
              <w:rPr>
                <w:rFonts w:eastAsia="Calibri"/>
                <w:lang w:eastAsia="en-US"/>
              </w:rPr>
              <w:t>235</w:t>
            </w: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12B88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28</w:t>
            </w: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A8063D" w:rsidRPr="002275FB" w:rsidRDefault="00A8063D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</w:t>
            </w:r>
            <w:r w:rsidR="00A12B88" w:rsidRPr="002275FB">
              <w:rPr>
                <w:rFonts w:eastAsia="Calibri"/>
                <w:lang w:eastAsia="en-US"/>
              </w:rPr>
              <w:t>6</w:t>
            </w:r>
            <w:r w:rsidRPr="002275FB">
              <w:rPr>
                <w:rFonts w:eastAsia="Calibri"/>
                <w:lang w:eastAsia="en-US"/>
              </w:rPr>
              <w:t>/23</w:t>
            </w:r>
            <w:r w:rsidR="00A12B88" w:rsidRPr="002275FB">
              <w:rPr>
                <w:rFonts w:eastAsia="Calibri"/>
                <w:lang w:eastAsia="en-US"/>
              </w:rPr>
              <w:t>5</w:t>
            </w: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4(16) / 4(16)</w:t>
            </w: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 xml:space="preserve">1 МФЦ и </w:t>
            </w:r>
            <w:r w:rsidR="00A12B88" w:rsidRPr="002275FB">
              <w:rPr>
                <w:rFonts w:eastAsia="Calibri"/>
                <w:lang w:eastAsia="en-US"/>
              </w:rPr>
              <w:t>8</w:t>
            </w:r>
            <w:r w:rsidRPr="002275FB">
              <w:rPr>
                <w:rFonts w:eastAsia="Calibri"/>
                <w:lang w:eastAsia="en-US"/>
              </w:rPr>
              <w:t xml:space="preserve"> ТОСП</w:t>
            </w: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0E234B" w:rsidRPr="002275FB" w:rsidRDefault="000E234B" w:rsidP="00A8063D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2275FB" w:rsidRDefault="00A95282" w:rsidP="00F45771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lastRenderedPageBreak/>
              <w:t>аналитическая справка управления информационных технологий и административного реформирования администрации Нефтеюганского района</w:t>
            </w:r>
            <w:r w:rsidR="00A8063D" w:rsidRPr="002275FB">
              <w:rPr>
                <w:rFonts w:eastAsia="Calibri"/>
                <w:lang w:eastAsia="en-US"/>
              </w:rPr>
              <w:t xml:space="preserve"> от 0</w:t>
            </w:r>
            <w:r w:rsidR="00F45771" w:rsidRPr="002275FB">
              <w:rPr>
                <w:rFonts w:eastAsia="Calibri"/>
                <w:lang w:eastAsia="en-US"/>
              </w:rPr>
              <w:t>9</w:t>
            </w:r>
            <w:r w:rsidR="00A8063D" w:rsidRPr="002275FB">
              <w:rPr>
                <w:rFonts w:eastAsia="Calibri"/>
                <w:lang w:eastAsia="en-US"/>
              </w:rPr>
              <w:t>.04.201</w:t>
            </w:r>
            <w:r w:rsidR="00F45771" w:rsidRPr="002275FB">
              <w:rPr>
                <w:rFonts w:eastAsia="Calibri"/>
                <w:lang w:eastAsia="en-US"/>
              </w:rPr>
              <w:t>8</w:t>
            </w:r>
            <w:r w:rsidR="00A8063D" w:rsidRPr="002275FB">
              <w:rPr>
                <w:rFonts w:eastAsia="Calibri"/>
                <w:lang w:eastAsia="en-US"/>
              </w:rPr>
              <w:t xml:space="preserve"> № 29-исх-1</w:t>
            </w:r>
            <w:r w:rsidR="00F45771" w:rsidRPr="002275FB">
              <w:rPr>
                <w:rFonts w:eastAsia="Calibri"/>
                <w:lang w:eastAsia="en-US"/>
              </w:rPr>
              <w:t>08</w:t>
            </w:r>
          </w:p>
        </w:tc>
      </w:tr>
      <w:tr w:rsidR="00A12E95" w:rsidRPr="00C044DB" w:rsidTr="009C1A8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04D" w:rsidRPr="00C044DB" w:rsidRDefault="001C704D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04D" w:rsidRPr="00DB0810" w:rsidRDefault="001C704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DB0810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2. Показатели по срокам предоставления муниципальной услуги «предоставление земельных участков»:</w:t>
            </w:r>
          </w:p>
          <w:p w:rsidR="001C704D" w:rsidRPr="00DB0810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1) доля разрешенных заявлений к общему количеству поданных заявлений о предоставлении земельных участков для строительства (в том числе земельных участков для жилищного строительства, индивидуального жилищного строительства, комплексного освоения в целях жилищного строительства (далее – строительство));</w:t>
            </w:r>
          </w:p>
          <w:p w:rsidR="001C704D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2) средняя продолжительность времени со дня подачи заявки на предоставление земельного участка для строительства до дня получения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разрешения на строительство;</w:t>
            </w:r>
          </w:p>
          <w:p w:rsidR="00A64D5B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A64D5B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A64D5B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A64D5B" w:rsidRPr="00DB0810" w:rsidRDefault="00A64D5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076B00" w:rsidRDefault="00076B00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1C704D" w:rsidRPr="00DB0810" w:rsidRDefault="001C704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3) средняя продолжительность времени со дня принятия решения уполномоченным органом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о предоставлении земельного участка для строительства до дня получения разрешения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>на строительство;</w:t>
            </w:r>
          </w:p>
          <w:p w:rsidR="001A586C" w:rsidRDefault="001A586C">
            <w:pPr>
              <w:rPr>
                <w:rFonts w:eastAsia="Calibri"/>
                <w:lang w:eastAsia="en-US"/>
              </w:rPr>
            </w:pPr>
          </w:p>
          <w:p w:rsidR="00076B00" w:rsidRDefault="00076B00">
            <w:pPr>
              <w:rPr>
                <w:rFonts w:eastAsia="Calibri"/>
                <w:highlight w:val="yellow"/>
                <w:lang w:eastAsia="en-US"/>
              </w:rPr>
            </w:pPr>
          </w:p>
          <w:p w:rsidR="008C7AC1" w:rsidRPr="00D74256" w:rsidRDefault="001C704D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4) количество территориальных органов федеральной исполнительной власти, органов местного самоуправления Нефтеюганского района, предприятий и организаций, реализующих разрешительные процедуры </w:t>
            </w:r>
            <w:r w:rsidRPr="00D74256">
              <w:rPr>
                <w:rFonts w:eastAsia="Calibri"/>
                <w:lang w:eastAsia="en-US"/>
              </w:rPr>
              <w:br/>
              <w:t xml:space="preserve">(чье согласование необходимо получить для предоставления земельного участка в аренду для строительства), </w:t>
            </w:r>
          </w:p>
          <w:p w:rsidR="001C704D" w:rsidRPr="00DB0810" w:rsidRDefault="001C704D" w:rsidP="001A586C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5) сроки получения разрешения,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</w:t>
            </w:r>
            <w:r w:rsidRPr="00D74256">
              <w:rPr>
                <w:rFonts w:eastAsia="Calibri"/>
                <w:lang w:eastAsia="en-US"/>
              </w:rPr>
              <w:br/>
              <w:t>в эксплуатацию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Default="001C704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693349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0748ED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0</w:t>
            </w: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51793F" w:rsidRDefault="0051793F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693349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день, из них:</w:t>
            </w:r>
          </w:p>
          <w:p w:rsidR="0051793F" w:rsidRDefault="0051793F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 –</w:t>
            </w:r>
          </w:p>
          <w:p w:rsidR="0051793F" w:rsidRDefault="0051793F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з/у; </w:t>
            </w:r>
          </w:p>
          <w:p w:rsidR="0051793F" w:rsidRDefault="0051793F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</w:t>
            </w:r>
            <w:proofErr w:type="spellStart"/>
            <w:r>
              <w:rPr>
                <w:rFonts w:eastAsia="Calibri"/>
                <w:lang w:eastAsia="en-US"/>
              </w:rPr>
              <w:t>градостр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51793F" w:rsidRDefault="00693349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51793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51793F">
              <w:rPr>
                <w:rFonts w:eastAsia="Calibri"/>
                <w:lang w:eastAsia="en-US"/>
              </w:rPr>
              <w:t>дн</w:t>
            </w:r>
            <w:proofErr w:type="spellEnd"/>
            <w:r w:rsidR="0051793F"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 w:rsidR="0051793F"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3B3A0D" w:rsidRDefault="003B3A0D" w:rsidP="0051793F">
            <w:pPr>
              <w:jc w:val="center"/>
              <w:rPr>
                <w:rFonts w:eastAsia="Calibri"/>
                <w:lang w:eastAsia="en-US"/>
              </w:rPr>
            </w:pPr>
          </w:p>
          <w:p w:rsidR="003B3A0D" w:rsidRDefault="003B3A0D" w:rsidP="0051793F">
            <w:pPr>
              <w:jc w:val="center"/>
              <w:rPr>
                <w:rFonts w:eastAsia="Calibri"/>
                <w:lang w:eastAsia="en-US"/>
              </w:rPr>
            </w:pPr>
          </w:p>
          <w:p w:rsidR="00A64D5B" w:rsidRDefault="00A64D5B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693349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 xml:space="preserve"> дней, из них:</w:t>
            </w:r>
          </w:p>
          <w:p w:rsidR="00A64D5B" w:rsidRDefault="00A64D5B" w:rsidP="005179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A64D5B" w:rsidRDefault="00693349" w:rsidP="00A64D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A64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A64D5B">
              <w:rPr>
                <w:rFonts w:eastAsia="Calibri"/>
                <w:lang w:eastAsia="en-US"/>
              </w:rPr>
              <w:t>дн</w:t>
            </w:r>
            <w:proofErr w:type="spellEnd"/>
            <w:r w:rsidR="00A64D5B"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 w:rsidR="00A64D5B"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D74256" w:rsidRDefault="00D74256" w:rsidP="0051793F">
            <w:pPr>
              <w:jc w:val="center"/>
              <w:rPr>
                <w:rFonts w:eastAsia="Calibri"/>
                <w:lang w:eastAsia="en-US"/>
              </w:rPr>
            </w:pPr>
          </w:p>
          <w:p w:rsidR="00D74256" w:rsidRPr="00D74256" w:rsidRDefault="00D74256" w:rsidP="00D74256">
            <w:pPr>
              <w:rPr>
                <w:rFonts w:eastAsia="Calibri"/>
                <w:lang w:eastAsia="en-US"/>
              </w:rPr>
            </w:pPr>
          </w:p>
          <w:p w:rsidR="00A64D5B" w:rsidRDefault="00D74256" w:rsidP="00D74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(ОМСУ)</w:t>
            </w: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D74256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016400" w:rsidRDefault="00016400" w:rsidP="000164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 день, из них:</w:t>
            </w:r>
          </w:p>
          <w:p w:rsidR="00016400" w:rsidRDefault="00016400" w:rsidP="000164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.- предоставление з/у;</w:t>
            </w:r>
          </w:p>
          <w:p w:rsidR="00016400" w:rsidRDefault="00016400" w:rsidP="000164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570E55" w:rsidRDefault="00016400" w:rsidP="000164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разрешения </w:t>
            </w:r>
            <w:proofErr w:type="gramStart"/>
            <w:r>
              <w:rPr>
                <w:rFonts w:eastAsia="Calibri"/>
                <w:lang w:eastAsia="en-US"/>
              </w:rPr>
              <w:t>на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</w:p>
          <w:p w:rsidR="00016400" w:rsidRDefault="00016400" w:rsidP="00016400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строит-во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D74256" w:rsidRPr="0000373B" w:rsidRDefault="00016400" w:rsidP="00016400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>
              <w:rPr>
                <w:rFonts w:eastAsia="Calibri"/>
                <w:lang w:eastAsia="en-US"/>
              </w:rPr>
              <w:t>кап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троительства</w:t>
            </w:r>
            <w:proofErr w:type="spellEnd"/>
            <w:r>
              <w:rPr>
                <w:rFonts w:eastAsia="Calibri"/>
                <w:lang w:eastAsia="en-US"/>
              </w:rPr>
              <w:t xml:space="preserve"> (без учета дней на </w:t>
            </w:r>
            <w:r>
              <w:rPr>
                <w:rFonts w:eastAsia="Calibri"/>
                <w:lang w:eastAsia="en-US"/>
              </w:rPr>
              <w:lastRenderedPageBreak/>
              <w:t>проектирование и экспертизу проекта, которые являются коммерческой услугой и носят договорной характер)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Default="001C704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693349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0748ED">
              <w:rPr>
                <w:rFonts w:eastAsia="Calibri"/>
                <w:lang w:eastAsia="en-US"/>
              </w:rPr>
              <w:t>7/</w:t>
            </w:r>
            <w:r>
              <w:rPr>
                <w:rFonts w:eastAsia="Calibri"/>
                <w:lang w:eastAsia="en-US"/>
              </w:rPr>
              <w:t>4</w:t>
            </w:r>
            <w:r w:rsidR="000748ED">
              <w:rPr>
                <w:rFonts w:eastAsia="Calibri"/>
                <w:lang w:eastAsia="en-US"/>
              </w:rPr>
              <w:t>7</w:t>
            </w: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748ED" w:rsidRDefault="000748ED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693349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 xml:space="preserve"> дня, из них: </w:t>
            </w:r>
          </w:p>
          <w:p w:rsidR="000748ED" w:rsidRDefault="000748ED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693349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proofErr w:type="gramStart"/>
            <w:r>
              <w:rPr>
                <w:rFonts w:eastAsia="Calibri"/>
                <w:lang w:eastAsia="en-US"/>
              </w:rPr>
              <w:t>.-</w:t>
            </w:r>
            <w:proofErr w:type="gramEnd"/>
            <w:r>
              <w:rPr>
                <w:rFonts w:eastAsia="Calibri"/>
                <w:lang w:eastAsia="en-US"/>
              </w:rPr>
              <w:t xml:space="preserve">предоставление з/у; </w:t>
            </w:r>
          </w:p>
          <w:p w:rsidR="000748ED" w:rsidRDefault="00693349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  <w:r w:rsidR="000748ED">
              <w:rPr>
                <w:rFonts w:eastAsia="Calibri"/>
                <w:lang w:eastAsia="en-US"/>
              </w:rPr>
              <w:t xml:space="preserve">2 </w:t>
            </w:r>
            <w:proofErr w:type="spellStart"/>
            <w:r w:rsidR="000748ED">
              <w:rPr>
                <w:rFonts w:eastAsia="Calibri"/>
                <w:lang w:eastAsia="en-US"/>
              </w:rPr>
              <w:t>дн</w:t>
            </w:r>
            <w:proofErr w:type="spellEnd"/>
            <w:r w:rsidR="000748ED">
              <w:rPr>
                <w:rFonts w:eastAsia="Calibri"/>
                <w:lang w:eastAsia="en-US"/>
              </w:rPr>
              <w:t>.-</w:t>
            </w:r>
            <w:r w:rsidR="0051793F">
              <w:rPr>
                <w:rFonts w:eastAsia="Calibri"/>
                <w:lang w:eastAsia="en-US"/>
              </w:rPr>
              <w:t xml:space="preserve"> выдача </w:t>
            </w:r>
            <w:proofErr w:type="spellStart"/>
            <w:r w:rsidR="0051793F">
              <w:rPr>
                <w:rFonts w:eastAsia="Calibri"/>
                <w:lang w:eastAsia="en-US"/>
              </w:rPr>
              <w:t>градостр</w:t>
            </w:r>
            <w:proofErr w:type="gramStart"/>
            <w:r w:rsidR="0051793F">
              <w:rPr>
                <w:rFonts w:eastAsia="Calibri"/>
                <w:lang w:eastAsia="en-US"/>
              </w:rPr>
              <w:t>.п</w:t>
            </w:r>
            <w:proofErr w:type="gramEnd"/>
            <w:r w:rsidR="0051793F">
              <w:rPr>
                <w:rFonts w:eastAsia="Calibri"/>
                <w:lang w:eastAsia="en-US"/>
              </w:rPr>
              <w:t>лана</w:t>
            </w:r>
            <w:proofErr w:type="spellEnd"/>
            <w:r w:rsidR="0051793F">
              <w:rPr>
                <w:rFonts w:eastAsia="Calibri"/>
                <w:lang w:eastAsia="en-US"/>
              </w:rPr>
              <w:t>;</w:t>
            </w:r>
          </w:p>
          <w:p w:rsidR="0051793F" w:rsidRDefault="0051793F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3B3A0D" w:rsidRDefault="003B3A0D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A64D5B" w:rsidRDefault="00693349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64D5B">
              <w:rPr>
                <w:rFonts w:eastAsia="Calibri"/>
                <w:lang w:eastAsia="en-US"/>
              </w:rPr>
              <w:t>6 дней, из них:</w:t>
            </w:r>
          </w:p>
          <w:p w:rsidR="00A64D5B" w:rsidRDefault="00693349" w:rsidP="00A64D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64D5B">
              <w:rPr>
                <w:rFonts w:eastAsia="Calibri"/>
                <w:lang w:eastAsia="en-US"/>
              </w:rPr>
              <w:t xml:space="preserve">2 </w:t>
            </w:r>
            <w:proofErr w:type="spellStart"/>
            <w:r w:rsidR="00A64D5B">
              <w:rPr>
                <w:rFonts w:eastAsia="Calibri"/>
                <w:lang w:eastAsia="en-US"/>
              </w:rPr>
              <w:t>дн</w:t>
            </w:r>
            <w:proofErr w:type="spellEnd"/>
            <w:r w:rsidR="00A64D5B"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 w:rsidR="00A64D5B">
              <w:rPr>
                <w:rFonts w:eastAsia="Calibri"/>
                <w:lang w:eastAsia="en-US"/>
              </w:rPr>
              <w:t>градостр</w:t>
            </w:r>
            <w:proofErr w:type="gramStart"/>
            <w:r w:rsidR="00A64D5B">
              <w:rPr>
                <w:rFonts w:eastAsia="Calibri"/>
                <w:lang w:eastAsia="en-US"/>
              </w:rPr>
              <w:t>.п</w:t>
            </w:r>
            <w:proofErr w:type="gramEnd"/>
            <w:r w:rsidR="00A64D5B">
              <w:rPr>
                <w:rFonts w:eastAsia="Calibri"/>
                <w:lang w:eastAsia="en-US"/>
              </w:rPr>
              <w:t>лана</w:t>
            </w:r>
            <w:proofErr w:type="spellEnd"/>
            <w:r w:rsidR="00A64D5B">
              <w:rPr>
                <w:rFonts w:eastAsia="Calibri"/>
                <w:lang w:eastAsia="en-US"/>
              </w:rPr>
              <w:t>;</w:t>
            </w:r>
          </w:p>
          <w:p w:rsidR="00A64D5B" w:rsidRDefault="00A64D5B" w:rsidP="00A64D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строи-во</w:t>
            </w:r>
            <w:proofErr w:type="gramEnd"/>
          </w:p>
          <w:p w:rsidR="00A64D5B" w:rsidRDefault="00A64D5B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D74256" w:rsidRDefault="00693349" w:rsidP="000748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(ОМСУ)</w:t>
            </w:r>
          </w:p>
          <w:p w:rsidR="00693349" w:rsidRDefault="00693349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693349" w:rsidRDefault="00693349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693349" w:rsidRDefault="00693349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693349" w:rsidRDefault="00693349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693349" w:rsidRDefault="00693349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693349" w:rsidRDefault="00693349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693349" w:rsidRDefault="00693349" w:rsidP="000748ED">
            <w:pPr>
              <w:jc w:val="center"/>
              <w:rPr>
                <w:rFonts w:eastAsia="Calibri"/>
                <w:lang w:eastAsia="en-US"/>
              </w:rPr>
            </w:pPr>
          </w:p>
          <w:p w:rsidR="00693349" w:rsidRDefault="00693349" w:rsidP="006933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 дней, из них:</w:t>
            </w:r>
          </w:p>
          <w:p w:rsidR="00693349" w:rsidRDefault="00693349" w:rsidP="006933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.- предоставление з/у;</w:t>
            </w:r>
          </w:p>
          <w:p w:rsidR="00693349" w:rsidRDefault="00693349" w:rsidP="006933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693349" w:rsidRDefault="00693349" w:rsidP="006933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строит-во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693349" w:rsidRPr="00DB0810" w:rsidRDefault="00693349" w:rsidP="006933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>
              <w:rPr>
                <w:rFonts w:eastAsia="Calibri"/>
                <w:lang w:eastAsia="en-US"/>
              </w:rPr>
              <w:t>кап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троительства</w:t>
            </w:r>
            <w:proofErr w:type="spellEnd"/>
            <w:r>
              <w:rPr>
                <w:rFonts w:eastAsia="Calibri"/>
                <w:lang w:eastAsia="en-US"/>
              </w:rPr>
              <w:t xml:space="preserve"> (без учета дней на </w:t>
            </w:r>
            <w:r>
              <w:rPr>
                <w:rFonts w:eastAsia="Calibri"/>
                <w:lang w:eastAsia="en-US"/>
              </w:rPr>
              <w:lastRenderedPageBreak/>
              <w:t>проектирование и экспертизу проекта, которые являются коммерческой услугой и носят договорной характер)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4D" w:rsidRPr="00434F21" w:rsidRDefault="00434F21" w:rsidP="00A12E95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А</w:t>
            </w:r>
            <w:r w:rsidRPr="00434F21">
              <w:rPr>
                <w:rFonts w:eastAsia="Calibri"/>
                <w:b w:val="0"/>
                <w:sz w:val="24"/>
                <w:szCs w:val="24"/>
                <w:lang w:eastAsia="en-US"/>
              </w:rPr>
              <w:t>налитическая справка</w:t>
            </w:r>
            <w:r w:rsidRPr="00DB0810">
              <w:rPr>
                <w:rFonts w:eastAsia="Calibri"/>
                <w:lang w:eastAsia="en-US"/>
              </w:rPr>
              <w:t xml:space="preserve"> </w:t>
            </w:r>
            <w:r w:rsidRPr="00434F21">
              <w:rPr>
                <w:rFonts w:eastAsia="Calibri"/>
                <w:b w:val="0"/>
                <w:sz w:val="24"/>
                <w:szCs w:val="24"/>
                <w:lang w:eastAsia="en-US"/>
              </w:rPr>
              <w:t>департамент</w:t>
            </w:r>
            <w:r w:rsidR="00A12E95">
              <w:rPr>
                <w:rFonts w:eastAsia="Calibri"/>
                <w:b w:val="0"/>
                <w:sz w:val="24"/>
                <w:szCs w:val="24"/>
                <w:lang w:eastAsia="en-US"/>
              </w:rPr>
              <w:t>а</w:t>
            </w:r>
            <w:r w:rsidRPr="00434F21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градостроительства и землепользования </w:t>
            </w:r>
            <w:r w:rsidR="00A12E9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администрации </w:t>
            </w:r>
            <w:r w:rsidRPr="00434F21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Нефтеюганского района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от 07.04.2017 №15-исх-1515</w:t>
            </w:r>
          </w:p>
        </w:tc>
      </w:tr>
      <w:tr w:rsidR="006A78C1" w:rsidRPr="00C044DB" w:rsidTr="009C1A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1" w:rsidRPr="00C044DB" w:rsidRDefault="006A78C1">
            <w:pPr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1" w:rsidRPr="00BD584F" w:rsidRDefault="006A78C1">
            <w:pPr>
              <w:rPr>
                <w:rFonts w:eastAsia="Calibri"/>
                <w:lang w:eastAsia="en-US"/>
              </w:rPr>
            </w:pPr>
            <w:r w:rsidRPr="00BD584F">
              <w:t xml:space="preserve">Осуществление антикоррупционного </w:t>
            </w:r>
            <w:proofErr w:type="gramStart"/>
            <w:r w:rsidRPr="00BD584F">
              <w:t>контроля за</w:t>
            </w:r>
            <w:proofErr w:type="gramEnd"/>
            <w:r w:rsidRPr="00BD584F">
              <w:t xml:space="preserve"> расходованием средств местного бюджета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1" w:rsidRPr="002275FB" w:rsidRDefault="006A78C1" w:rsidP="00256905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>1. Расходы консолидированного бюджета Нефтеюганского района (тыс. рублей), в том числе:</w:t>
            </w:r>
          </w:p>
          <w:p w:rsidR="006A78C1" w:rsidRPr="002275FB" w:rsidRDefault="006A78C1" w:rsidP="00256905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на увеличение стоимости основных средств; </w:t>
            </w:r>
          </w:p>
          <w:p w:rsidR="00890072" w:rsidRPr="002275FB" w:rsidRDefault="006A78C1" w:rsidP="00256905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на развитие и поддержку малого и среднего предпринимательства, </w:t>
            </w:r>
          </w:p>
          <w:p w:rsidR="00D400E5" w:rsidRPr="002275FB" w:rsidRDefault="006A78C1" w:rsidP="00256905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в том числе в расчете на одно малое </w:t>
            </w:r>
            <w:r w:rsidRPr="002275FB">
              <w:rPr>
                <w:b w:val="0"/>
                <w:sz w:val="24"/>
                <w:szCs w:val="24"/>
              </w:rPr>
              <w:br/>
              <w:t xml:space="preserve">и среднее предприятие Нефтеюганского района и </w:t>
            </w:r>
          </w:p>
          <w:p w:rsidR="006A78C1" w:rsidRPr="002275FB" w:rsidRDefault="006A78C1" w:rsidP="00256905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одного жителя Нефтеюганского района; </w:t>
            </w:r>
          </w:p>
          <w:p w:rsidR="006A78C1" w:rsidRPr="002275FB" w:rsidRDefault="006A78C1" w:rsidP="00256905">
            <w:pPr>
              <w:rPr>
                <w:rFonts w:eastAsia="Calibri"/>
                <w:lang w:eastAsia="en-US"/>
              </w:rPr>
            </w:pPr>
            <w:r w:rsidRPr="002275FB">
              <w:t>- на содержание работников органов местного самоуправления Нефтеюганского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8C1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5 119 647,57</w:t>
            </w: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256905" w:rsidRPr="002275FB" w:rsidRDefault="00256905" w:rsidP="0025690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801 231,45</w:t>
            </w: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3 056,9</w:t>
            </w: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256905" w:rsidRPr="002275FB" w:rsidRDefault="00890072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2,68</w:t>
            </w: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256905" w:rsidRPr="002275FB" w:rsidRDefault="00D400E5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0,07</w:t>
            </w:r>
          </w:p>
          <w:p w:rsidR="00256905" w:rsidRPr="002275FB" w:rsidRDefault="00D400E5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605 486,0</w:t>
            </w: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5259975,56</w:t>
            </w: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256905" w:rsidRPr="002275FB" w:rsidRDefault="00256905" w:rsidP="00256905">
            <w:pPr>
              <w:rPr>
                <w:rFonts w:eastAsia="Calibri"/>
                <w:lang w:eastAsia="en-US"/>
              </w:rPr>
            </w:pPr>
          </w:p>
          <w:p w:rsidR="00256905" w:rsidRPr="002275FB" w:rsidRDefault="00256905" w:rsidP="00256905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1019275,36</w:t>
            </w: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3832,39</w:t>
            </w: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256905" w:rsidRPr="002275FB" w:rsidRDefault="00890072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2,9</w:t>
            </w: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256905" w:rsidRPr="002275FB" w:rsidRDefault="00D400E5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0,09</w:t>
            </w:r>
          </w:p>
          <w:p w:rsidR="00256905" w:rsidRPr="002275FB" w:rsidRDefault="00D400E5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588880,0</w:t>
            </w:r>
          </w:p>
          <w:p w:rsidR="00256905" w:rsidRPr="002275FB" w:rsidRDefault="00256905" w:rsidP="00C044D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C1" w:rsidRPr="002275FB" w:rsidRDefault="00CC1BEC" w:rsidP="00C044DB">
            <w:pPr>
              <w:jc w:val="center"/>
              <w:rPr>
                <w:rFonts w:eastAsia="Calibri"/>
                <w:lang w:eastAsia="en-US"/>
              </w:rPr>
            </w:pPr>
            <w:r w:rsidRPr="002275FB">
              <w:rPr>
                <w:rFonts w:eastAsia="Calibri"/>
                <w:lang w:eastAsia="en-US"/>
              </w:rPr>
              <w:t>Аналитическая справка Департамента финансов Нефтеюганского района от 22.02.2018 № 10/02-исх-140</w:t>
            </w:r>
          </w:p>
        </w:tc>
      </w:tr>
      <w:tr w:rsidR="006A78C1" w:rsidRPr="00C044DB" w:rsidTr="006A78C1">
        <w:trPr>
          <w:trHeight w:val="168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8C1" w:rsidRPr="00C044DB" w:rsidRDefault="006A78C1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8C1" w:rsidRPr="00DB0810" w:rsidRDefault="006A78C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1" w:rsidRPr="006A78C1" w:rsidRDefault="006A78C1" w:rsidP="006A78C1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A78C1">
              <w:rPr>
                <w:b w:val="0"/>
                <w:sz w:val="24"/>
                <w:szCs w:val="24"/>
              </w:rPr>
              <w:t>2</w:t>
            </w:r>
            <w:r w:rsidRPr="006752FE">
              <w:rPr>
                <w:b w:val="0"/>
                <w:sz w:val="24"/>
                <w:szCs w:val="24"/>
              </w:rPr>
              <w:t>. Соотношение средней заработной платы муниципальных служащих замещающих должности, включенные в соответствующий перечень, к средней заработной плате по Нефтеюганскому району</w:t>
            </w:r>
            <w:r w:rsidRPr="006A78C1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2FE" w:rsidRDefault="006752FE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192817,1 /70133,7 </w:t>
            </w:r>
          </w:p>
          <w:p w:rsidR="006A78C1" w:rsidRPr="00DB0810" w:rsidRDefault="006A78C1" w:rsidP="00C044DB">
            <w:pPr>
              <w:pStyle w:val="ConsPlusTitle"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C1" w:rsidRDefault="006752FE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178219,9 /70233,3</w:t>
            </w:r>
          </w:p>
          <w:p w:rsidR="006A78C1" w:rsidRPr="00DB0810" w:rsidRDefault="006A78C1" w:rsidP="00023F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8C1" w:rsidRPr="006752FE" w:rsidRDefault="006752FE" w:rsidP="006752FE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752FE">
              <w:rPr>
                <w:rFonts w:eastAsia="Calibri"/>
                <w:b w:val="0"/>
                <w:sz w:val="24"/>
                <w:szCs w:val="24"/>
                <w:lang w:eastAsia="en-US"/>
              </w:rPr>
              <w:t>Аналитическая справка Департамента фин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ансов Нефтеюганского района от 19</w:t>
            </w:r>
            <w:r w:rsidRPr="006752FE">
              <w:rPr>
                <w:rFonts w:eastAsia="Calibri"/>
                <w:b w:val="0"/>
                <w:sz w:val="24"/>
                <w:szCs w:val="24"/>
                <w:lang w:eastAsia="en-US"/>
              </w:rPr>
              <w:t>.0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4</w:t>
            </w:r>
            <w:r w:rsidRPr="006752FE">
              <w:rPr>
                <w:rFonts w:eastAsia="Calibri"/>
                <w:b w:val="0"/>
                <w:sz w:val="24"/>
                <w:szCs w:val="24"/>
                <w:lang w:eastAsia="en-US"/>
              </w:rPr>
              <w:t>.2018 № 10/02-исх-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295</w:t>
            </w:r>
          </w:p>
        </w:tc>
      </w:tr>
      <w:tr w:rsidR="006A78C1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8C1" w:rsidRPr="00C044DB" w:rsidRDefault="006A78C1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8C1" w:rsidRPr="00DB0810" w:rsidRDefault="006A78C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C1" w:rsidRPr="002275FB" w:rsidRDefault="006A78C1" w:rsidP="000C419D">
            <w:pPr>
              <w:pStyle w:val="ConsPlusTitle"/>
              <w:widowControl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3. Количество проведенных проверок сохранности и целевого использования муниципального имущества Нефтеюганского района, из них: </w:t>
            </w:r>
          </w:p>
          <w:p w:rsidR="006A78C1" w:rsidRPr="002275FB" w:rsidRDefault="006A78C1" w:rsidP="000C419D">
            <w:pPr>
              <w:pStyle w:val="ConsPlusTitle"/>
              <w:widowControl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количество проверок, </w:t>
            </w:r>
            <w:r w:rsidRPr="002275FB">
              <w:rPr>
                <w:b w:val="0"/>
                <w:sz w:val="24"/>
                <w:szCs w:val="24"/>
              </w:rPr>
              <w:br/>
              <w:t xml:space="preserve">в результате которых выявлены нарушения федерального и окружного законодательства, </w:t>
            </w:r>
            <w:r w:rsidRPr="002275FB">
              <w:rPr>
                <w:b w:val="0"/>
                <w:sz w:val="24"/>
                <w:szCs w:val="24"/>
              </w:rPr>
              <w:br/>
              <w:t xml:space="preserve">с указанием количества материалов, </w:t>
            </w:r>
            <w:r w:rsidRPr="002275FB">
              <w:rPr>
                <w:b w:val="0"/>
                <w:sz w:val="24"/>
                <w:szCs w:val="24"/>
              </w:rPr>
              <w:lastRenderedPageBreak/>
              <w:t xml:space="preserve">направленных в правоохранительные органы; </w:t>
            </w:r>
          </w:p>
          <w:p w:rsidR="006A78C1" w:rsidRPr="002275FB" w:rsidRDefault="006A78C1" w:rsidP="000C419D">
            <w:pPr>
              <w:pStyle w:val="ConsPlusTitle"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C1" w:rsidRPr="002275FB" w:rsidRDefault="005D037F" w:rsidP="000C419D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lastRenderedPageBreak/>
              <w:t>4</w:t>
            </w:r>
          </w:p>
          <w:p w:rsidR="00C658AE" w:rsidRPr="002275FB" w:rsidRDefault="00C658AE" w:rsidP="000C419D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C658AE" w:rsidRPr="002275FB" w:rsidRDefault="00C658AE" w:rsidP="000C419D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C658AE" w:rsidRPr="002275FB" w:rsidRDefault="00C658AE" w:rsidP="000C419D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C658AE" w:rsidRPr="002275FB" w:rsidRDefault="00C658AE" w:rsidP="000C419D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>2/0</w:t>
            </w:r>
          </w:p>
          <w:p w:rsidR="00C658AE" w:rsidRPr="002275FB" w:rsidRDefault="00C658AE" w:rsidP="000C419D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C658AE" w:rsidRPr="002275FB" w:rsidRDefault="00C658AE" w:rsidP="000C419D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C658AE" w:rsidRPr="002275FB" w:rsidRDefault="00C658AE" w:rsidP="000C419D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C658AE" w:rsidRPr="002275FB" w:rsidRDefault="00C658AE" w:rsidP="000C419D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C658AE" w:rsidRPr="002275FB" w:rsidRDefault="00C658AE" w:rsidP="000C419D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>50% /0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C1" w:rsidRPr="002275FB" w:rsidRDefault="00E0456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lastRenderedPageBreak/>
              <w:t>8</w:t>
            </w:r>
          </w:p>
          <w:p w:rsidR="005D037F" w:rsidRPr="002275FB" w:rsidRDefault="005D037F" w:rsidP="000C419D">
            <w:pPr>
              <w:jc w:val="center"/>
              <w:rPr>
                <w:sz w:val="22"/>
                <w:szCs w:val="22"/>
              </w:rPr>
            </w:pPr>
          </w:p>
          <w:p w:rsidR="005D037F" w:rsidRPr="002275FB" w:rsidRDefault="005D037F" w:rsidP="000C419D">
            <w:pPr>
              <w:jc w:val="center"/>
              <w:rPr>
                <w:sz w:val="22"/>
                <w:szCs w:val="22"/>
              </w:rPr>
            </w:pPr>
          </w:p>
          <w:p w:rsidR="005D037F" w:rsidRPr="002275FB" w:rsidRDefault="005D037F" w:rsidP="000C419D">
            <w:pPr>
              <w:jc w:val="center"/>
              <w:rPr>
                <w:sz w:val="22"/>
                <w:szCs w:val="22"/>
              </w:rPr>
            </w:pPr>
          </w:p>
          <w:p w:rsidR="005D037F" w:rsidRPr="002275FB" w:rsidRDefault="00E0456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4</w:t>
            </w:r>
            <w:r w:rsidR="00C658AE" w:rsidRPr="002275FB">
              <w:rPr>
                <w:sz w:val="22"/>
                <w:szCs w:val="22"/>
              </w:rPr>
              <w:t>/0</w:t>
            </w:r>
          </w:p>
          <w:p w:rsidR="00C658AE" w:rsidRPr="002275FB" w:rsidRDefault="00C658AE" w:rsidP="000C419D">
            <w:pPr>
              <w:jc w:val="center"/>
              <w:rPr>
                <w:sz w:val="22"/>
                <w:szCs w:val="22"/>
              </w:rPr>
            </w:pPr>
          </w:p>
          <w:p w:rsidR="00C658AE" w:rsidRPr="002275FB" w:rsidRDefault="00C658AE" w:rsidP="000C419D">
            <w:pPr>
              <w:jc w:val="center"/>
              <w:rPr>
                <w:sz w:val="22"/>
                <w:szCs w:val="22"/>
              </w:rPr>
            </w:pPr>
          </w:p>
          <w:p w:rsidR="00C658AE" w:rsidRPr="002275FB" w:rsidRDefault="00C658AE" w:rsidP="000C419D">
            <w:pPr>
              <w:jc w:val="center"/>
              <w:rPr>
                <w:sz w:val="22"/>
                <w:szCs w:val="22"/>
              </w:rPr>
            </w:pPr>
          </w:p>
          <w:p w:rsidR="00C658AE" w:rsidRPr="002275FB" w:rsidRDefault="00C658AE" w:rsidP="000C419D">
            <w:pPr>
              <w:jc w:val="center"/>
              <w:rPr>
                <w:sz w:val="22"/>
                <w:szCs w:val="22"/>
              </w:rPr>
            </w:pPr>
          </w:p>
          <w:p w:rsidR="00C658AE" w:rsidRPr="002275FB" w:rsidRDefault="00E0456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50</w:t>
            </w:r>
            <w:r w:rsidR="00C658AE" w:rsidRPr="002275FB">
              <w:rPr>
                <w:sz w:val="22"/>
                <w:szCs w:val="22"/>
              </w:rPr>
              <w:t>% /0</w:t>
            </w:r>
          </w:p>
          <w:p w:rsidR="00C658AE" w:rsidRPr="002275FB" w:rsidRDefault="00C658AE" w:rsidP="000C419D">
            <w:pPr>
              <w:jc w:val="center"/>
              <w:rPr>
                <w:sz w:val="22"/>
                <w:szCs w:val="22"/>
              </w:rPr>
            </w:pPr>
          </w:p>
          <w:p w:rsidR="00C658AE" w:rsidRPr="002275FB" w:rsidRDefault="00C658AE" w:rsidP="000C419D">
            <w:pPr>
              <w:jc w:val="center"/>
              <w:rPr>
                <w:sz w:val="22"/>
                <w:szCs w:val="22"/>
              </w:rPr>
            </w:pPr>
          </w:p>
          <w:p w:rsidR="00C658AE" w:rsidRPr="002275FB" w:rsidRDefault="00C658AE" w:rsidP="000C419D">
            <w:pPr>
              <w:jc w:val="center"/>
              <w:rPr>
                <w:sz w:val="22"/>
                <w:szCs w:val="22"/>
              </w:rPr>
            </w:pPr>
          </w:p>
          <w:p w:rsidR="00C658AE" w:rsidRPr="002275FB" w:rsidRDefault="00C658AE" w:rsidP="000C41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C1" w:rsidRPr="002275FB" w:rsidRDefault="005D037F" w:rsidP="000C419D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lastRenderedPageBreak/>
              <w:t>Аналитическая справка КСП от 04.04.2018 № 35-исх-142</w:t>
            </w:r>
          </w:p>
          <w:p w:rsidR="005D037F" w:rsidRPr="002275FB" w:rsidRDefault="005D037F" w:rsidP="000C419D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</w:p>
          <w:p w:rsidR="005D037F" w:rsidRPr="002275FB" w:rsidRDefault="005D037F" w:rsidP="000C419D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>Аналитическая справка КРУ от 10.04.2018 №25-</w:t>
            </w:r>
            <w:r w:rsidRPr="002275FB">
              <w:rPr>
                <w:b w:val="0"/>
                <w:sz w:val="22"/>
                <w:szCs w:val="22"/>
              </w:rPr>
              <w:lastRenderedPageBreak/>
              <w:t>исх-71</w:t>
            </w:r>
          </w:p>
        </w:tc>
      </w:tr>
      <w:tr w:rsidR="006A78C1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8C1" w:rsidRPr="00C044DB" w:rsidRDefault="006A78C1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8C1" w:rsidRPr="00DB0810" w:rsidRDefault="006A78C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C1" w:rsidRPr="002275FB" w:rsidRDefault="00E0456F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>4</w:t>
            </w:r>
            <w:r w:rsidR="006A78C1" w:rsidRPr="002275FB">
              <w:rPr>
                <w:b w:val="0"/>
                <w:sz w:val="22"/>
                <w:szCs w:val="22"/>
              </w:rPr>
              <w:t xml:space="preserve">. Проверки соблюдения требований, установленных Федеральным законом </w:t>
            </w:r>
            <w:r w:rsidR="006A78C1" w:rsidRPr="002275FB">
              <w:rPr>
                <w:b w:val="0"/>
                <w:sz w:val="22"/>
                <w:szCs w:val="22"/>
              </w:rPr>
              <w:br/>
              <w:t xml:space="preserve">от 05.04.2013 №44-ФЗ «О контрактной системе в сфере закупок товаров, работ, услуг для обеспечения государственных </w:t>
            </w:r>
            <w:r w:rsidR="006A78C1" w:rsidRPr="002275FB">
              <w:rPr>
                <w:b w:val="0"/>
                <w:sz w:val="22"/>
                <w:szCs w:val="22"/>
              </w:rPr>
              <w:br/>
              <w:t>и муниципальных нужд» (далее – законодательство о контрактной системе)</w:t>
            </w:r>
          </w:p>
          <w:p w:rsidR="006A78C1" w:rsidRPr="002275FB" w:rsidRDefault="006A78C1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>Всего: проверок</w:t>
            </w:r>
          </w:p>
          <w:p w:rsidR="006A78C1" w:rsidRPr="002275FB" w:rsidRDefault="006A78C1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закупок</w:t>
            </w:r>
          </w:p>
          <w:p w:rsidR="006A78C1" w:rsidRPr="002275FB" w:rsidRDefault="006A78C1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на сумму</w:t>
            </w:r>
          </w:p>
          <w:p w:rsidR="006A78C1" w:rsidRPr="002275FB" w:rsidRDefault="006A78C1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из них с нарушениями законодательства о контрактной системе: </w:t>
            </w:r>
          </w:p>
          <w:p w:rsidR="006A78C1" w:rsidRPr="002275FB" w:rsidRDefault="006A78C1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проверок,</w:t>
            </w:r>
          </w:p>
          <w:p w:rsidR="006A78C1" w:rsidRPr="002275FB" w:rsidRDefault="006A78C1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фактов нарушения законодательства,</w:t>
            </w:r>
          </w:p>
          <w:p w:rsidR="006A78C1" w:rsidRPr="002275FB" w:rsidRDefault="006A78C1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на сумму,</w:t>
            </w:r>
          </w:p>
          <w:p w:rsidR="006A78C1" w:rsidRPr="002275FB" w:rsidRDefault="006A78C1" w:rsidP="000C419D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фактов, содержащих признаки административных правонарушений и направленных для решения вопроса о возбуждении дел об административных правонарушениях</w:t>
            </w:r>
          </w:p>
          <w:p w:rsidR="006A78C1" w:rsidRPr="002275FB" w:rsidRDefault="006A78C1" w:rsidP="000C419D">
            <w:pPr>
              <w:spacing w:line="260" w:lineRule="exact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 xml:space="preserve">6. Потери местного бюджета вследствие коррупционных правонарушений (тыс. рублей) </w:t>
            </w:r>
            <w:r w:rsidRPr="002275FB">
              <w:rPr>
                <w:sz w:val="22"/>
                <w:szCs w:val="22"/>
              </w:rPr>
              <w:br/>
              <w:t>к доходной части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C1" w:rsidRPr="002275FB" w:rsidRDefault="006A78C1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7</w:t>
            </w: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189</w:t>
            </w: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72 078 403,86руб</w:t>
            </w: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2</w:t>
            </w: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9</w:t>
            </w: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4 921 618,95руб</w:t>
            </w: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2</w:t>
            </w: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C1" w:rsidRPr="002275FB" w:rsidRDefault="006A78C1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6</w:t>
            </w: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532</w:t>
            </w: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53 345 740,52руб</w:t>
            </w: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5</w:t>
            </w: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36</w:t>
            </w:r>
          </w:p>
          <w:p w:rsidR="00E0456F" w:rsidRPr="002275FB" w:rsidRDefault="00E0456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16 418 286,66руб</w:t>
            </w: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7</w:t>
            </w: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</w:p>
          <w:p w:rsidR="00C5554F" w:rsidRPr="002275FB" w:rsidRDefault="00C5554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8C1" w:rsidRPr="002275FB" w:rsidRDefault="00E0456F" w:rsidP="000C419D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Аналитическая справка КРУ от 10.04.2018 №25-исх-71</w:t>
            </w:r>
          </w:p>
        </w:tc>
      </w:tr>
      <w:tr w:rsidR="009650D6" w:rsidRPr="00C044DB" w:rsidTr="009C1A80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Default="009650D6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5.</w:t>
            </w: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Default="006A78C1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78C1" w:rsidRPr="00C044DB" w:rsidRDefault="006A78C1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Default="009650D6" w:rsidP="00964486">
            <w:pPr>
              <w:outlineLvl w:val="0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lastRenderedPageBreak/>
              <w:t xml:space="preserve">Изучение и анализ статистической отчетности о выявленных на территории Нефтеюганского района коррупционных </w:t>
            </w:r>
            <w:r w:rsidRPr="00DB0810">
              <w:rPr>
                <w:rFonts w:eastAsia="Calibri"/>
                <w:lang w:eastAsia="en-US"/>
              </w:rPr>
              <w:lastRenderedPageBreak/>
              <w:t xml:space="preserve">правонарушениях   </w:t>
            </w:r>
          </w:p>
          <w:p w:rsidR="006A78C1" w:rsidRDefault="006A78C1" w:rsidP="00964486">
            <w:pPr>
              <w:outlineLvl w:val="0"/>
              <w:rPr>
                <w:rFonts w:eastAsia="Calibri"/>
                <w:lang w:eastAsia="en-US"/>
              </w:rPr>
            </w:pPr>
          </w:p>
          <w:p w:rsidR="006A78C1" w:rsidRDefault="006A78C1" w:rsidP="00964486">
            <w:pPr>
              <w:outlineLvl w:val="0"/>
              <w:rPr>
                <w:rFonts w:eastAsia="Calibri"/>
                <w:lang w:eastAsia="en-US"/>
              </w:rPr>
            </w:pPr>
          </w:p>
          <w:p w:rsidR="006A78C1" w:rsidRDefault="006A78C1" w:rsidP="00964486">
            <w:pPr>
              <w:outlineLvl w:val="0"/>
              <w:rPr>
                <w:rFonts w:eastAsia="Calibri"/>
                <w:lang w:eastAsia="en-US"/>
              </w:rPr>
            </w:pPr>
          </w:p>
          <w:p w:rsidR="006A78C1" w:rsidRDefault="006A78C1" w:rsidP="00964486">
            <w:pPr>
              <w:outlineLvl w:val="0"/>
              <w:rPr>
                <w:rFonts w:eastAsia="Calibri"/>
                <w:lang w:eastAsia="en-US"/>
              </w:rPr>
            </w:pPr>
          </w:p>
          <w:p w:rsidR="006A78C1" w:rsidRPr="00DB0810" w:rsidRDefault="006A78C1" w:rsidP="00964486">
            <w:pPr>
              <w:outlineLvl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1. Количество возбужденных уголовных дел по фактам коррупции.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возбужденных уголовных дел по фактам захвата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и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Количество уголовных дел по фактам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коррупции,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приговоры.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4. Количество уголовных дел по фактам захвата имущества, имущественных и неимущественных прав, денежных средств предприятий в Нефтеюганском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),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приговоры.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5. Количество лиц, осужденных за совершение коррупционных преступлений.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Количество лиц, осужденных за совершение преступлений, связанных с захватом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удовлетворенных судом исковых требований граждан и организаций действий (бездействия) по фактам коррупционных правонарушений к общему количеству обжалований гражданами и организациями действий (бездействия), в том числе: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территориальных органов федеральных государственных органов; </w:t>
            </w:r>
          </w:p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- органов местного самоуправления Нефтеюганского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6A7D3C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C3E78" w:rsidRPr="00DB0810" w:rsidRDefault="004C3E78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7CC2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Default="00967CC2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4C3E78" w:rsidRDefault="004C3E78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7CC2" w:rsidRPr="00DB0810" w:rsidRDefault="00967CC2" w:rsidP="00C044D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50D6" w:rsidP="00AE591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Аналитическая справка Нефтеюганского районного суда от </w:t>
            </w:r>
            <w:r w:rsidR="004C3E78" w:rsidRPr="004C3E78">
              <w:rPr>
                <w:rFonts w:eastAsia="Calibri"/>
                <w:lang w:eastAsia="en-US"/>
              </w:rPr>
              <w:t>2</w:t>
            </w:r>
            <w:r w:rsidRPr="004C3E78">
              <w:rPr>
                <w:rFonts w:eastAsia="Calibri"/>
                <w:lang w:eastAsia="en-US"/>
              </w:rPr>
              <w:t>4.04.201</w:t>
            </w:r>
            <w:r w:rsidR="00185BFB" w:rsidRPr="004C3E78">
              <w:rPr>
                <w:rFonts w:eastAsia="Calibri"/>
                <w:lang w:eastAsia="en-US"/>
              </w:rPr>
              <w:t>8</w:t>
            </w:r>
            <w:r w:rsidRPr="004C3E78">
              <w:rPr>
                <w:rFonts w:eastAsia="Calibri"/>
                <w:lang w:eastAsia="en-US"/>
              </w:rPr>
              <w:t xml:space="preserve"> № 01-14</w:t>
            </w:r>
            <w:r w:rsidR="004C3E78" w:rsidRPr="004C3E78">
              <w:rPr>
                <w:rFonts w:eastAsia="Calibri"/>
                <w:lang w:eastAsia="en-US"/>
              </w:rPr>
              <w:t>-</w:t>
            </w:r>
            <w:r w:rsidR="004C3E78">
              <w:rPr>
                <w:rFonts w:eastAsia="Calibri"/>
                <w:lang w:eastAsia="en-US"/>
              </w:rPr>
              <w:t>10604</w:t>
            </w:r>
          </w:p>
          <w:p w:rsidR="009650D6" w:rsidRDefault="009650D6" w:rsidP="00AE5910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AE591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</w:t>
            </w:r>
            <w:r>
              <w:rPr>
                <w:rFonts w:eastAsia="Calibri"/>
                <w:lang w:eastAsia="en-US"/>
              </w:rPr>
              <w:lastRenderedPageBreak/>
              <w:t xml:space="preserve">справка ОМВД России по Нефтеюганскому району от </w:t>
            </w:r>
            <w:r w:rsidR="00185BFB">
              <w:rPr>
                <w:rFonts w:eastAsia="Calibri"/>
                <w:highlight w:val="yellow"/>
                <w:lang w:eastAsia="en-US"/>
              </w:rPr>
              <w:t>10.04.2018</w:t>
            </w:r>
            <w:r w:rsidRPr="002F258B">
              <w:rPr>
                <w:rFonts w:eastAsia="Calibri"/>
                <w:highlight w:val="yellow"/>
                <w:lang w:eastAsia="en-US"/>
              </w:rPr>
              <w:t xml:space="preserve"> №52/3-5790</w:t>
            </w:r>
          </w:p>
          <w:p w:rsidR="009650D6" w:rsidRDefault="009650D6" w:rsidP="00AE5910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9650D6" w:rsidP="00AE591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650D6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C044DB" w:rsidRDefault="009650D6" w:rsidP="00C044D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2F258B" w:rsidRDefault="009650D6">
            <w:pPr>
              <w:rPr>
                <w:rFonts w:eastAsia="Calibri"/>
                <w:lang w:eastAsia="en-US"/>
              </w:rPr>
            </w:pPr>
            <w:r w:rsidRPr="002F258B">
              <w:rPr>
                <w:rFonts w:eastAsia="Calibri"/>
                <w:lang w:eastAsia="en-US"/>
              </w:rPr>
              <w:t xml:space="preserve">8. Соотношение количества представлений, частных определений суда, иных документов реагирования в адрес органов местного самоуправления Нефтеюганского района по фактам совершения коррупционных </w:t>
            </w:r>
            <w:r w:rsidRPr="002F258B">
              <w:rPr>
                <w:rFonts w:eastAsia="Calibri"/>
                <w:lang w:eastAsia="en-US"/>
              </w:rPr>
              <w:lastRenderedPageBreak/>
              <w:t>правонарушений к их общему количеству, поступившему в органы местного самоуправления Нефтеюганского района в отчетном периоде из правоохранительных органов и судов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2F258B" w:rsidRDefault="009650D6" w:rsidP="002C4A7E">
            <w:pPr>
              <w:jc w:val="center"/>
              <w:rPr>
                <w:rFonts w:eastAsia="Calibri"/>
                <w:lang w:eastAsia="en-US"/>
              </w:rPr>
            </w:pPr>
            <w:r w:rsidRPr="002F258B">
              <w:rPr>
                <w:rFonts w:eastAsia="Calibri"/>
                <w:lang w:eastAsia="en-US"/>
              </w:rPr>
              <w:lastRenderedPageBreak/>
              <w:t>0/</w:t>
            </w:r>
            <w:r w:rsidR="002C4A7E" w:rsidRPr="002F258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2F258B" w:rsidRDefault="009650D6" w:rsidP="002C4A7E">
            <w:pPr>
              <w:jc w:val="center"/>
              <w:rPr>
                <w:rFonts w:eastAsia="Calibri"/>
                <w:lang w:eastAsia="en-US"/>
              </w:rPr>
            </w:pPr>
            <w:r w:rsidRPr="002F258B">
              <w:rPr>
                <w:rFonts w:eastAsia="Calibri"/>
                <w:lang w:eastAsia="en-US"/>
              </w:rPr>
              <w:t>0/</w:t>
            </w:r>
            <w:r w:rsidR="002C4A7E" w:rsidRPr="002F258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2F258B" w:rsidRDefault="009650D6" w:rsidP="00507CC9">
            <w:pPr>
              <w:jc w:val="center"/>
              <w:rPr>
                <w:rFonts w:eastAsia="Calibri"/>
                <w:lang w:eastAsia="en-US"/>
              </w:rPr>
            </w:pPr>
            <w:r w:rsidRPr="002F258B">
              <w:rPr>
                <w:rFonts w:eastAsia="Calibri"/>
                <w:lang w:eastAsia="en-US"/>
              </w:rPr>
              <w:t xml:space="preserve">Аналитическая справка юридического комитета администрации </w:t>
            </w:r>
            <w:r w:rsidRPr="002F258B">
              <w:rPr>
                <w:rFonts w:eastAsia="Calibri"/>
                <w:lang w:eastAsia="en-US"/>
              </w:rPr>
              <w:lastRenderedPageBreak/>
              <w:t>Нефтеюганского района от 06.04.201</w:t>
            </w:r>
            <w:r w:rsidR="002C4A7E" w:rsidRPr="002F258B">
              <w:rPr>
                <w:rFonts w:eastAsia="Calibri"/>
                <w:lang w:eastAsia="en-US"/>
              </w:rPr>
              <w:t>8 № 18-исх-326</w:t>
            </w:r>
          </w:p>
          <w:p w:rsidR="009650D6" w:rsidRPr="002F258B" w:rsidRDefault="009650D6" w:rsidP="00507CC9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2F258B" w:rsidRDefault="009650D6" w:rsidP="002C4A7E">
            <w:pPr>
              <w:jc w:val="center"/>
              <w:rPr>
                <w:rFonts w:eastAsia="Calibri"/>
                <w:lang w:eastAsia="en-US"/>
              </w:rPr>
            </w:pPr>
            <w:r w:rsidRPr="002F258B">
              <w:rPr>
                <w:rFonts w:eastAsia="Calibri"/>
                <w:lang w:eastAsia="en-US"/>
              </w:rPr>
              <w:t xml:space="preserve">Аналитическая справка Думы  Нефтеюганского района от </w:t>
            </w:r>
            <w:r w:rsidR="002C4A7E" w:rsidRPr="002F258B">
              <w:rPr>
                <w:rFonts w:eastAsia="Calibri"/>
                <w:lang w:eastAsia="en-US"/>
              </w:rPr>
              <w:t>1</w:t>
            </w:r>
            <w:r w:rsidRPr="002F258B">
              <w:rPr>
                <w:rFonts w:eastAsia="Calibri"/>
                <w:lang w:eastAsia="en-US"/>
              </w:rPr>
              <w:t>0.04.2017 № 16-исх-1</w:t>
            </w:r>
            <w:r w:rsidR="002C4A7E" w:rsidRPr="002F258B">
              <w:rPr>
                <w:rFonts w:eastAsia="Calibri"/>
                <w:lang w:eastAsia="en-US"/>
              </w:rPr>
              <w:t>45</w:t>
            </w:r>
          </w:p>
        </w:tc>
      </w:tr>
      <w:tr w:rsidR="009650D6" w:rsidRPr="00C044DB" w:rsidTr="009C1A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C044DB" w:rsidRDefault="009650D6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DB0810" w:rsidRDefault="009650D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1D488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9. Количество жителей Нефтеюганского района, отбывающих наказание за коррупционные правонарушения и являвшихся государственными, муниципальными служащими, в том числе:</w:t>
            </w:r>
          </w:p>
          <w:p w:rsidR="009650D6" w:rsidRPr="001D488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федеральных органов государственной власти; </w:t>
            </w:r>
          </w:p>
          <w:p w:rsidR="009650D6" w:rsidRPr="001D488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- органов государственной власти Ханты-Мансийского автономного округа - Югры</w:t>
            </w:r>
            <w:proofErr w:type="gramStart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9650D6" w:rsidRPr="001D4880" w:rsidRDefault="009650D6">
            <w:pPr>
              <w:rPr>
                <w:rFonts w:eastAsia="Calibri"/>
                <w:lang w:eastAsia="en-US"/>
              </w:rPr>
            </w:pPr>
            <w:r w:rsidRPr="001D4880">
              <w:rPr>
                <w:rFonts w:eastAsia="Calibri"/>
                <w:lang w:eastAsia="en-US"/>
              </w:rPr>
              <w:t xml:space="preserve">- органов местного самоуправления муниципальных образований </w:t>
            </w:r>
            <w:proofErr w:type="gramStart"/>
            <w:r w:rsidRPr="001D4880">
              <w:rPr>
                <w:rFonts w:eastAsia="Calibri"/>
                <w:lang w:eastAsia="en-US"/>
              </w:rPr>
              <w:t>в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D488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автономном округе - Югре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0B630C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Pr="00DB0810" w:rsidRDefault="000B630C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Default="00E81EC8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0B630C" w:rsidRDefault="000B630C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B630C" w:rsidRPr="00DB0810" w:rsidRDefault="000B630C" w:rsidP="00C044D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0B630C">
            <w:pPr>
              <w:jc w:val="center"/>
              <w:rPr>
                <w:rFonts w:eastAsia="Calibri"/>
                <w:lang w:eastAsia="en-US"/>
              </w:rPr>
            </w:pPr>
            <w:r w:rsidRPr="000B630C">
              <w:rPr>
                <w:rFonts w:eastAsia="Calibri"/>
                <w:lang w:eastAsia="en-US"/>
              </w:rPr>
              <w:t xml:space="preserve">Аналитическая справка </w:t>
            </w:r>
            <w:r w:rsidRPr="000B630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ФКУ УИИ УФСИН России по Ханты-Мансийскому автономному округу </w:t>
            </w:r>
            <w:r w:rsidR="00371DBE" w:rsidRPr="000B630C">
              <w:rPr>
                <w:rFonts w:eastAsia="Calibri"/>
                <w:color w:val="000000"/>
                <w:shd w:val="clear" w:color="auto" w:fill="FFFFFF"/>
                <w:lang w:eastAsia="en-US"/>
              </w:rPr>
              <w:t>–</w:t>
            </w:r>
            <w:r w:rsidRPr="000B630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Югре</w:t>
            </w:r>
            <w:r w:rsidR="00371DBE" w:rsidRPr="000B630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от</w:t>
            </w:r>
            <w:r w:rsidR="000B630C" w:rsidRPr="000B630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25</w:t>
            </w:r>
            <w:r w:rsidR="001D4880" w:rsidRPr="000B630C">
              <w:rPr>
                <w:rFonts w:eastAsia="Calibri"/>
                <w:color w:val="000000"/>
                <w:shd w:val="clear" w:color="auto" w:fill="FFFFFF"/>
                <w:lang w:eastAsia="en-US"/>
              </w:rPr>
              <w:t>.0</w:t>
            </w:r>
            <w:r w:rsidR="000B630C" w:rsidRPr="000B630C">
              <w:rPr>
                <w:rFonts w:eastAsia="Calibri"/>
                <w:color w:val="000000"/>
                <w:shd w:val="clear" w:color="auto" w:fill="FFFFFF"/>
                <w:lang w:eastAsia="en-US"/>
              </w:rPr>
              <w:t>4</w:t>
            </w:r>
            <w:r w:rsidR="001D4880" w:rsidRPr="000B630C">
              <w:rPr>
                <w:rFonts w:eastAsia="Calibri"/>
                <w:color w:val="000000"/>
                <w:shd w:val="clear" w:color="auto" w:fill="FFFFFF"/>
                <w:lang w:eastAsia="en-US"/>
              </w:rPr>
              <w:t>.201</w:t>
            </w:r>
            <w:r w:rsidR="000B630C" w:rsidRPr="000B630C">
              <w:rPr>
                <w:rFonts w:eastAsia="Calibri"/>
                <w:color w:val="000000"/>
                <w:shd w:val="clear" w:color="auto" w:fill="FFFFFF"/>
                <w:lang w:eastAsia="en-US"/>
              </w:rPr>
              <w:t>8</w:t>
            </w:r>
            <w:r w:rsidR="001D4880" w:rsidRPr="000B630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№ 80/ТО/50/8-</w:t>
            </w:r>
            <w:r w:rsidR="000B630C" w:rsidRPr="000B630C">
              <w:rPr>
                <w:rFonts w:eastAsia="Calibri"/>
                <w:color w:val="000000"/>
                <w:shd w:val="clear" w:color="auto" w:fill="FFFFFF"/>
                <w:lang w:eastAsia="en-US"/>
              </w:rPr>
              <w:t>567</w:t>
            </w:r>
          </w:p>
        </w:tc>
      </w:tr>
      <w:tr w:rsidR="009650D6" w:rsidRPr="00C044DB" w:rsidTr="009C1A80"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C044DB" w:rsidRDefault="009650D6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0D6" w:rsidRPr="00DB0810" w:rsidRDefault="009650D6" w:rsidP="00C044DB">
            <w:pPr>
              <w:pStyle w:val="ConsPlusTitle"/>
              <w:rPr>
                <w:rFonts w:ascii="Calibri" w:eastAsia="Calibri" w:hAnsi="Calibri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Проведение анализа поступивших в органы   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местного самоуправления Нефтеюганского района жалоб и обращений граждан и организаций о фактах совершения коррупционных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правонарушений с целью их обобщения по существу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поставленных вопросов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1. Количество обращений, поступивших на «</w:t>
            </w:r>
            <w:r w:rsidR="00FB6AFB">
              <w:rPr>
                <w:rFonts w:eastAsia="Calibri"/>
                <w:b w:val="0"/>
                <w:sz w:val="24"/>
                <w:szCs w:val="24"/>
                <w:lang w:eastAsia="en-US"/>
              </w:rPr>
              <w:t>горячую линию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» органов местного самоуправления Нефтеюганского района, из них: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переданных в правоохранительные органы, содержащих информацию о коррупционных проявлениях; 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количество обращений, переданных в правоохранительные органы, информация о коррупционных проявлениях по которым подтвердилась.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2. Количество обращений, поступивших в органы местного самоуправления Нефтеюганского района (в том числе письменных и устных, поступивших на личных приемах должностных лиц ОМС) из них: </w:t>
            </w:r>
          </w:p>
          <w:p w:rsidR="009650D6" w:rsidRPr="00DB0810" w:rsidRDefault="009650D6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количество обращений, переданных в правоохранительные органы, содержащих информацию о коррупционных проявлениях; </w:t>
            </w:r>
          </w:p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количество обращений, переданных в правоохранительные органы, информация о коррупционных проявлениях по которым подтвердилась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2F258B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2F258B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Default="009650D6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9650D6" w:rsidRPr="00DB0810" w:rsidRDefault="009650D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 w:rsidP="004205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Аналитическая справка управления </w:t>
            </w:r>
          </w:p>
          <w:p w:rsidR="009650D6" w:rsidRPr="00DB0810" w:rsidRDefault="009650D6" w:rsidP="002F258B">
            <w:pPr>
              <w:jc w:val="center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по вопросам местного самоуправления и обращениям граждан администрации Нефтеюганского района</w:t>
            </w:r>
            <w:r>
              <w:rPr>
                <w:rFonts w:eastAsia="Calibri"/>
                <w:lang w:eastAsia="en-US"/>
              </w:rPr>
              <w:t xml:space="preserve"> от </w:t>
            </w:r>
            <w:r>
              <w:rPr>
                <w:rFonts w:eastAsia="Calibri"/>
                <w:lang w:eastAsia="en-US"/>
              </w:rPr>
              <w:lastRenderedPageBreak/>
              <w:t>0</w:t>
            </w:r>
            <w:r w:rsidR="002F258B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.04.201</w:t>
            </w:r>
            <w:r w:rsidR="002F258B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№ 09-исх-</w:t>
            </w:r>
            <w:r w:rsidR="002F258B">
              <w:rPr>
                <w:rFonts w:eastAsia="Calibri"/>
                <w:lang w:eastAsia="en-US"/>
              </w:rPr>
              <w:t>118</w:t>
            </w:r>
          </w:p>
        </w:tc>
      </w:tr>
      <w:tr w:rsidR="009650D6" w:rsidRPr="00C044DB" w:rsidTr="009C1A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C044DB" w:rsidRDefault="009650D6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50D6" w:rsidRPr="00DB0810" w:rsidRDefault="009650D6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Проведение анализа публикаций о состоянии коррупции на территории Нефтеюганского района в средствах массовой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DB0810" w:rsidRDefault="009650D6" w:rsidP="00FF3EB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Количество проанализированных информационных материалов, из них: </w:t>
            </w:r>
          </w:p>
          <w:p w:rsidR="009650D6" w:rsidRPr="00DB0810" w:rsidRDefault="009650D6" w:rsidP="00FF3EB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доля информационных материалов о фактах коррупционных правонарушений (в процентах);</w:t>
            </w:r>
          </w:p>
          <w:p w:rsidR="009650D6" w:rsidRPr="00DB0810" w:rsidRDefault="009650D6" w:rsidP="00FF3EB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доля информационных материалов по вопросам </w:t>
            </w:r>
            <w:proofErr w:type="gramStart"/>
            <w:r w:rsidRPr="00DB0810">
              <w:rPr>
                <w:rFonts w:eastAsia="Calibri"/>
                <w:lang w:eastAsia="en-US"/>
              </w:rPr>
              <w:t>антикоррупционной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политики </w:t>
            </w:r>
          </w:p>
          <w:p w:rsidR="009650D6" w:rsidRPr="00DB0810" w:rsidRDefault="009650D6" w:rsidP="00FF3EBD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(в процентах)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Default="00B63831" w:rsidP="00FF3E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  <w:p w:rsidR="00964486" w:rsidRDefault="00964486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964486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B63831">
              <w:rPr>
                <w:rFonts w:eastAsia="Calibri"/>
                <w:lang w:eastAsia="en-US"/>
              </w:rPr>
              <w:t>%</w:t>
            </w:r>
          </w:p>
          <w:p w:rsidR="00964486" w:rsidRDefault="00964486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B63831" w:rsidRDefault="00B63831" w:rsidP="00FF3EBD">
            <w:pPr>
              <w:jc w:val="center"/>
              <w:rPr>
                <w:rFonts w:eastAsia="Calibri"/>
                <w:lang w:eastAsia="en-US"/>
              </w:rPr>
            </w:pPr>
          </w:p>
          <w:p w:rsidR="00964486" w:rsidRPr="00DB0810" w:rsidRDefault="00964486" w:rsidP="00FF3E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831" w:rsidRDefault="00B63831" w:rsidP="00B6383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  <w:p w:rsidR="00B63831" w:rsidRDefault="00B63831" w:rsidP="00B63831">
            <w:pPr>
              <w:jc w:val="center"/>
              <w:rPr>
                <w:rFonts w:eastAsia="Calibri"/>
                <w:lang w:eastAsia="en-US"/>
              </w:rPr>
            </w:pPr>
          </w:p>
          <w:p w:rsidR="00B63831" w:rsidRDefault="00B63831" w:rsidP="00B6383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  <w:p w:rsidR="00B63831" w:rsidRDefault="00B63831" w:rsidP="00B63831">
            <w:pPr>
              <w:jc w:val="center"/>
              <w:rPr>
                <w:rFonts w:eastAsia="Calibri"/>
                <w:lang w:eastAsia="en-US"/>
              </w:rPr>
            </w:pPr>
          </w:p>
          <w:p w:rsidR="00B63831" w:rsidRDefault="00B63831" w:rsidP="00B63831">
            <w:pPr>
              <w:jc w:val="center"/>
              <w:rPr>
                <w:rFonts w:eastAsia="Calibri"/>
                <w:lang w:eastAsia="en-US"/>
              </w:rPr>
            </w:pPr>
          </w:p>
          <w:p w:rsidR="00964486" w:rsidRPr="00DB0810" w:rsidRDefault="00B63831" w:rsidP="00B6383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0D6" w:rsidRPr="00DB0810" w:rsidRDefault="00964486" w:rsidP="00B63831">
            <w:pPr>
              <w:jc w:val="center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аналитическая справка М</w:t>
            </w:r>
            <w:r>
              <w:rPr>
                <w:rFonts w:eastAsia="Calibri"/>
                <w:lang w:eastAsia="en-US"/>
              </w:rPr>
              <w:t>КУ</w:t>
            </w:r>
            <w:r w:rsidRPr="00DB0810">
              <w:rPr>
                <w:rFonts w:eastAsia="Calibri"/>
                <w:lang w:eastAsia="en-US"/>
              </w:rPr>
              <w:t xml:space="preserve"> «Управление по делам администрации Нефтеюганского района»</w:t>
            </w:r>
            <w:r>
              <w:rPr>
                <w:rFonts w:eastAsia="Calibri"/>
                <w:lang w:eastAsia="en-US"/>
              </w:rPr>
              <w:t xml:space="preserve"> от 0</w:t>
            </w:r>
            <w:r w:rsidR="00B63831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.04.201</w:t>
            </w:r>
            <w:r w:rsidR="00B63831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</w:t>
            </w:r>
            <w:r w:rsidR="00B63831">
              <w:rPr>
                <w:rFonts w:eastAsia="Calibri"/>
                <w:lang w:eastAsia="en-US"/>
              </w:rPr>
              <w:t>№ 17-исх-383</w:t>
            </w:r>
          </w:p>
        </w:tc>
      </w:tr>
    </w:tbl>
    <w:p w:rsidR="001C704D" w:rsidRDefault="001C704D" w:rsidP="004149B9"/>
    <w:p w:rsidR="005C51B2" w:rsidRDefault="005C51B2" w:rsidP="005C51B2">
      <w:pPr>
        <w:jc w:val="both"/>
        <w:rPr>
          <w:color w:val="000000"/>
          <w:sz w:val="26"/>
          <w:szCs w:val="26"/>
        </w:rPr>
      </w:pPr>
      <w:r w:rsidRPr="008E7BBE">
        <w:rPr>
          <w:sz w:val="26"/>
          <w:szCs w:val="26"/>
        </w:rPr>
        <w:t xml:space="preserve">Результаты мониторинга </w:t>
      </w:r>
      <w:r w:rsidRPr="008E7BBE">
        <w:rPr>
          <w:color w:val="000000"/>
          <w:sz w:val="26"/>
          <w:szCs w:val="26"/>
        </w:rPr>
        <w:t xml:space="preserve">эффективности противодействия коррупции, предусмотренным Порядком проведения </w:t>
      </w:r>
      <w:r>
        <w:rPr>
          <w:color w:val="000000"/>
          <w:sz w:val="26"/>
          <w:szCs w:val="26"/>
        </w:rPr>
        <w:t>а</w:t>
      </w:r>
      <w:r w:rsidRPr="008E7BBE">
        <w:rPr>
          <w:color w:val="000000"/>
          <w:sz w:val="26"/>
          <w:szCs w:val="26"/>
        </w:rPr>
        <w:t xml:space="preserve">нтикоррупционного мониторинга </w:t>
      </w:r>
      <w:proofErr w:type="gramStart"/>
      <w:r w:rsidRPr="008E7BBE">
        <w:rPr>
          <w:color w:val="000000"/>
          <w:sz w:val="26"/>
          <w:szCs w:val="26"/>
        </w:rPr>
        <w:t>в</w:t>
      </w:r>
      <w:proofErr w:type="gramEnd"/>
      <w:r w:rsidRPr="008E7BBE">
        <w:rPr>
          <w:color w:val="000000"/>
          <w:sz w:val="26"/>
          <w:szCs w:val="26"/>
        </w:rPr>
        <w:t xml:space="preserve"> </w:t>
      </w:r>
      <w:proofErr w:type="gramStart"/>
      <w:r w:rsidRPr="008E7BBE">
        <w:rPr>
          <w:color w:val="000000"/>
          <w:sz w:val="26"/>
          <w:szCs w:val="26"/>
        </w:rPr>
        <w:t>Нефтеюганском</w:t>
      </w:r>
      <w:proofErr w:type="gramEnd"/>
      <w:r w:rsidRPr="008E7BBE">
        <w:rPr>
          <w:color w:val="000000"/>
          <w:sz w:val="26"/>
          <w:szCs w:val="26"/>
        </w:rPr>
        <w:t xml:space="preserve"> районе</w:t>
      </w:r>
      <w:r>
        <w:rPr>
          <w:color w:val="000000"/>
          <w:sz w:val="26"/>
          <w:szCs w:val="26"/>
        </w:rPr>
        <w:t>, в 1 квартале 2018 года показывают:</w:t>
      </w:r>
    </w:p>
    <w:p w:rsidR="005C51B2" w:rsidRDefault="005C51B2" w:rsidP="005C51B2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в сравнении с показателями АППГ почти в 2 раза увеличилось количество должностей муниципальной службы, включенных в </w:t>
      </w:r>
      <w:r w:rsidRPr="008D5DDE">
        <w:rPr>
          <w:color w:val="000000"/>
          <w:sz w:val="26"/>
          <w:szCs w:val="26"/>
        </w:rPr>
        <w:t>перечень должностей,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 своих, своих супруг (супругов) и несовершеннолетних детей. Ф</w:t>
      </w:r>
      <w:r w:rsidRPr="008D5DDE">
        <w:rPr>
          <w:sz w:val="26"/>
          <w:szCs w:val="26"/>
        </w:rPr>
        <w:t>актов несоблюдения муниципальными служащими органов местного самоуправления Нефтеюганского района требований к служебному поведению, ограничений и запретов, установленных законодательством о противодействии коррупции и муниципальной службы, не выявлено</w:t>
      </w:r>
      <w:r>
        <w:rPr>
          <w:sz w:val="26"/>
          <w:szCs w:val="26"/>
        </w:rPr>
        <w:t>;</w:t>
      </w:r>
    </w:p>
    <w:p w:rsidR="005C51B2" w:rsidRDefault="005C51B2" w:rsidP="005C51B2">
      <w:pPr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Pr="008D5DDE">
        <w:rPr>
          <w:sz w:val="26"/>
          <w:szCs w:val="26"/>
        </w:rPr>
        <w:t xml:space="preserve">количество </w:t>
      </w:r>
      <w:r w:rsidRPr="008D5DDE">
        <w:rPr>
          <w:rFonts w:eastAsia="Calibri"/>
          <w:sz w:val="26"/>
          <w:szCs w:val="26"/>
          <w:lang w:eastAsia="en-US"/>
        </w:rPr>
        <w:t xml:space="preserve">выявленных </w:t>
      </w:r>
      <w:proofErr w:type="spellStart"/>
      <w:r w:rsidRPr="008D5DDE">
        <w:rPr>
          <w:rFonts w:eastAsia="Calibri"/>
          <w:sz w:val="26"/>
          <w:szCs w:val="26"/>
          <w:lang w:eastAsia="en-US"/>
        </w:rPr>
        <w:t>коррупциогенных</w:t>
      </w:r>
      <w:proofErr w:type="spellEnd"/>
      <w:r w:rsidRPr="008D5DDE">
        <w:rPr>
          <w:rFonts w:eastAsia="Calibri"/>
          <w:sz w:val="26"/>
          <w:szCs w:val="26"/>
          <w:lang w:eastAsia="en-US"/>
        </w:rPr>
        <w:t xml:space="preserve"> факторов </w:t>
      </w:r>
      <w:r>
        <w:rPr>
          <w:rFonts w:eastAsia="Calibri"/>
          <w:sz w:val="26"/>
          <w:szCs w:val="26"/>
          <w:lang w:eastAsia="en-US"/>
        </w:rPr>
        <w:t>в</w:t>
      </w:r>
      <w:r w:rsidRPr="008D5DDE">
        <w:rPr>
          <w:rFonts w:eastAsia="Calibri"/>
          <w:sz w:val="26"/>
          <w:szCs w:val="26"/>
          <w:lang w:eastAsia="en-US"/>
        </w:rPr>
        <w:t xml:space="preserve"> нормативных правовых акт</w:t>
      </w:r>
      <w:r>
        <w:rPr>
          <w:rFonts w:eastAsia="Calibri"/>
          <w:sz w:val="26"/>
          <w:szCs w:val="26"/>
          <w:lang w:eastAsia="en-US"/>
        </w:rPr>
        <w:t>ах</w:t>
      </w:r>
      <w:r w:rsidRPr="008D5DDE">
        <w:rPr>
          <w:rFonts w:eastAsia="Calibri"/>
          <w:sz w:val="26"/>
          <w:szCs w:val="26"/>
          <w:lang w:eastAsia="en-US"/>
        </w:rPr>
        <w:t xml:space="preserve"> Нефтеюганского района, в отношении которых проводилась антикоррупционная экспертиза, составляет как и в АППГ </w:t>
      </w:r>
      <w:r>
        <w:rPr>
          <w:rFonts w:eastAsia="Calibri"/>
          <w:sz w:val="26"/>
          <w:szCs w:val="26"/>
          <w:lang w:eastAsia="en-US"/>
        </w:rPr>
        <w:t>–</w:t>
      </w:r>
      <w:r w:rsidRPr="008D5DDE">
        <w:rPr>
          <w:rFonts w:eastAsia="Calibri"/>
          <w:sz w:val="26"/>
          <w:szCs w:val="26"/>
          <w:lang w:eastAsia="en-US"/>
        </w:rPr>
        <w:t xml:space="preserve"> 0</w:t>
      </w:r>
      <w:r>
        <w:rPr>
          <w:rFonts w:eastAsia="Calibri"/>
          <w:sz w:val="26"/>
          <w:szCs w:val="26"/>
          <w:lang w:eastAsia="en-US"/>
        </w:rPr>
        <w:t>;</w:t>
      </w:r>
    </w:p>
    <w:p w:rsidR="005C51B2" w:rsidRDefault="005C51B2" w:rsidP="005C51B2">
      <w:pPr>
        <w:pStyle w:val="ConsPlusTitle"/>
        <w:widowControl/>
        <w:jc w:val="both"/>
        <w:rPr>
          <w:rFonts w:eastAsia="Calibri"/>
          <w:b w:val="0"/>
          <w:sz w:val="26"/>
          <w:szCs w:val="26"/>
          <w:lang w:eastAsia="en-US"/>
        </w:rPr>
      </w:pPr>
      <w:r w:rsidRPr="00F326BA">
        <w:rPr>
          <w:rFonts w:eastAsia="Calibri"/>
          <w:sz w:val="26"/>
          <w:szCs w:val="26"/>
          <w:lang w:eastAsia="en-US"/>
        </w:rPr>
        <w:lastRenderedPageBreak/>
        <w:t xml:space="preserve">- </w:t>
      </w:r>
      <w:r w:rsidRPr="00F326BA">
        <w:rPr>
          <w:rFonts w:eastAsia="Calibri"/>
          <w:b w:val="0"/>
          <w:sz w:val="26"/>
          <w:szCs w:val="26"/>
          <w:lang w:eastAsia="en-US"/>
        </w:rPr>
        <w:t>количество исполняемых муниципальных функций увеличилось на 2</w:t>
      </w:r>
      <w:r>
        <w:rPr>
          <w:rFonts w:eastAsia="Calibri"/>
          <w:b w:val="0"/>
          <w:sz w:val="26"/>
          <w:szCs w:val="26"/>
          <w:lang w:eastAsia="en-US"/>
        </w:rPr>
        <w:t xml:space="preserve"> (муниципальный </w:t>
      </w:r>
      <w:proofErr w:type="gramStart"/>
      <w:r>
        <w:rPr>
          <w:rFonts w:eastAsia="Calibri"/>
          <w:b w:val="0"/>
          <w:sz w:val="26"/>
          <w:szCs w:val="26"/>
          <w:lang w:eastAsia="en-US"/>
        </w:rPr>
        <w:t>контроль за</w:t>
      </w:r>
      <w:proofErr w:type="gramEnd"/>
      <w:r>
        <w:rPr>
          <w:rFonts w:eastAsia="Calibri"/>
          <w:b w:val="0"/>
          <w:sz w:val="26"/>
          <w:szCs w:val="26"/>
          <w:lang w:eastAsia="en-US"/>
        </w:rPr>
        <w:t xml:space="preserve"> соблюдением законодательства в области розничной продажи алкогольной продукции на межселенной территории района, в части соблюдения требований законодательства, определяющего границы прилегающих территорий к организациям и объектам, на которых не допускается розничная продажа алкогольной продукции; муниципальный контроль в области торговой деятельности на межселенной территории района, в части соблюдения схемы размещения нестационарных торговых объектов)</w:t>
      </w:r>
      <w:r w:rsidRPr="00F326BA">
        <w:rPr>
          <w:rFonts w:eastAsia="Calibri"/>
          <w:b w:val="0"/>
          <w:sz w:val="26"/>
          <w:szCs w:val="26"/>
          <w:lang w:eastAsia="en-US"/>
        </w:rPr>
        <w:t>, а количество муниципальных служащих, замещающих должности, включенные в соответствующий перечень,</w:t>
      </w:r>
      <w:r>
        <w:rPr>
          <w:rFonts w:eastAsia="Calibri"/>
          <w:b w:val="0"/>
          <w:sz w:val="26"/>
          <w:szCs w:val="26"/>
          <w:lang w:eastAsia="en-US"/>
        </w:rPr>
        <w:t xml:space="preserve"> и </w:t>
      </w:r>
      <w:r w:rsidRPr="00F326BA">
        <w:rPr>
          <w:rFonts w:eastAsia="Calibri"/>
          <w:b w:val="0"/>
          <w:sz w:val="26"/>
          <w:szCs w:val="26"/>
          <w:lang w:eastAsia="en-US"/>
        </w:rPr>
        <w:t xml:space="preserve"> исполняющих муниципальные функции увеличилось на 1;</w:t>
      </w:r>
      <w:r>
        <w:rPr>
          <w:rFonts w:eastAsia="Calibri"/>
          <w:b w:val="0"/>
          <w:sz w:val="26"/>
          <w:szCs w:val="26"/>
          <w:lang w:eastAsia="en-US"/>
        </w:rPr>
        <w:t xml:space="preserve"> на 3 увеличилось количество предоставляемых муниципальных услуг, на 2 увеличилось количество муниципальных служащих, замещающих должности, включенные в соответствующий перечень, и участвующих в предоставлении муниципальных услуг;</w:t>
      </w:r>
    </w:p>
    <w:p w:rsidR="005C51B2" w:rsidRPr="00473D4F" w:rsidRDefault="005C51B2" w:rsidP="005C51B2">
      <w:pPr>
        <w:pStyle w:val="ConsPlusTitle"/>
        <w:widowControl/>
        <w:jc w:val="both"/>
        <w:rPr>
          <w:rFonts w:eastAsia="Calibri"/>
          <w:b w:val="0"/>
          <w:sz w:val="26"/>
          <w:szCs w:val="26"/>
          <w:lang w:eastAsia="en-US"/>
        </w:rPr>
      </w:pPr>
      <w:r>
        <w:rPr>
          <w:rFonts w:eastAsia="Calibri"/>
          <w:b w:val="0"/>
          <w:sz w:val="26"/>
          <w:szCs w:val="26"/>
          <w:lang w:eastAsia="en-US"/>
        </w:rPr>
        <w:t xml:space="preserve">- </w:t>
      </w:r>
      <w:r w:rsidRPr="00B71C17">
        <w:rPr>
          <w:rFonts w:eastAsia="Calibri"/>
          <w:b w:val="0"/>
          <w:sz w:val="26"/>
          <w:szCs w:val="26"/>
          <w:lang w:eastAsia="en-US"/>
        </w:rPr>
        <w:t xml:space="preserve">увеличилась </w:t>
      </w:r>
      <w:r w:rsidRPr="00473D4F">
        <w:rPr>
          <w:rFonts w:eastAsia="Calibri"/>
          <w:b w:val="0"/>
          <w:sz w:val="26"/>
          <w:szCs w:val="26"/>
          <w:lang w:eastAsia="en-US"/>
        </w:rPr>
        <w:t xml:space="preserve">средняя продолжительность времени </w:t>
      </w:r>
      <w:proofErr w:type="gramStart"/>
      <w:r w:rsidRPr="00473D4F">
        <w:rPr>
          <w:rFonts w:eastAsia="Calibri"/>
          <w:b w:val="0"/>
          <w:sz w:val="26"/>
          <w:szCs w:val="26"/>
          <w:lang w:eastAsia="en-US"/>
        </w:rPr>
        <w:t>со дня подачи заявки на предоставление земельного участка для строительства до дня получения разрешения на строительство</w:t>
      </w:r>
      <w:proofErr w:type="gramEnd"/>
      <w:r w:rsidRPr="00473D4F">
        <w:rPr>
          <w:rFonts w:eastAsia="Calibri"/>
          <w:b w:val="0"/>
          <w:sz w:val="26"/>
          <w:szCs w:val="26"/>
          <w:lang w:eastAsia="en-US"/>
        </w:rPr>
        <w:t xml:space="preserve"> с 41 до 44 дней;</w:t>
      </w:r>
    </w:p>
    <w:p w:rsidR="005C51B2" w:rsidRDefault="005C51B2" w:rsidP="005C51B2">
      <w:pPr>
        <w:pStyle w:val="ConsPlusTitle"/>
        <w:widowControl/>
        <w:jc w:val="both"/>
        <w:rPr>
          <w:b w:val="0"/>
          <w:sz w:val="26"/>
          <w:szCs w:val="26"/>
        </w:rPr>
      </w:pPr>
      <w:r w:rsidRPr="00473D4F">
        <w:rPr>
          <w:rFonts w:eastAsia="Calibri"/>
          <w:b w:val="0"/>
          <w:sz w:val="26"/>
          <w:szCs w:val="26"/>
          <w:lang w:eastAsia="en-US"/>
        </w:rPr>
        <w:t xml:space="preserve">- на 140327,99 </w:t>
      </w:r>
      <w:proofErr w:type="spellStart"/>
      <w:r w:rsidRPr="00473D4F">
        <w:rPr>
          <w:rFonts w:eastAsia="Calibri"/>
          <w:b w:val="0"/>
          <w:sz w:val="26"/>
          <w:szCs w:val="26"/>
          <w:lang w:eastAsia="en-US"/>
        </w:rPr>
        <w:t>тыс</w:t>
      </w:r>
      <w:proofErr w:type="gramStart"/>
      <w:r w:rsidRPr="00473D4F">
        <w:rPr>
          <w:rFonts w:eastAsia="Calibri"/>
          <w:b w:val="0"/>
          <w:sz w:val="26"/>
          <w:szCs w:val="26"/>
          <w:lang w:eastAsia="en-US"/>
        </w:rPr>
        <w:t>.р</w:t>
      </w:r>
      <w:proofErr w:type="gramEnd"/>
      <w:r w:rsidRPr="00473D4F">
        <w:rPr>
          <w:rFonts w:eastAsia="Calibri"/>
          <w:b w:val="0"/>
          <w:sz w:val="26"/>
          <w:szCs w:val="26"/>
          <w:lang w:eastAsia="en-US"/>
        </w:rPr>
        <w:t>уб</w:t>
      </w:r>
      <w:proofErr w:type="spellEnd"/>
      <w:r w:rsidRPr="00473D4F">
        <w:rPr>
          <w:rFonts w:eastAsia="Calibri"/>
          <w:b w:val="0"/>
          <w:sz w:val="26"/>
          <w:szCs w:val="26"/>
          <w:lang w:eastAsia="en-US"/>
        </w:rPr>
        <w:t>. сократились р</w:t>
      </w:r>
      <w:r w:rsidRPr="00473D4F">
        <w:rPr>
          <w:b w:val="0"/>
          <w:sz w:val="26"/>
          <w:szCs w:val="26"/>
        </w:rPr>
        <w:t xml:space="preserve">асходы консолидированного бюджета Нефтеюганского района, при этом расходы на содержание работников органов местного самоуправления Нефтеюганского района увеличились на 16 606 </w:t>
      </w:r>
      <w:proofErr w:type="spellStart"/>
      <w:r w:rsidRPr="00473D4F">
        <w:rPr>
          <w:b w:val="0"/>
          <w:sz w:val="26"/>
          <w:szCs w:val="26"/>
        </w:rPr>
        <w:t>тыс.руб</w:t>
      </w:r>
      <w:proofErr w:type="spellEnd"/>
      <w:r w:rsidRPr="00473D4F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;</w:t>
      </w:r>
    </w:p>
    <w:p w:rsidR="005C51B2" w:rsidRDefault="005C51B2" w:rsidP="005C51B2">
      <w:pPr>
        <w:pStyle w:val="ConsPlu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Pr="00D162AD">
        <w:rPr>
          <w:b w:val="0"/>
          <w:sz w:val="26"/>
          <w:szCs w:val="26"/>
        </w:rPr>
        <w:t>на 1 увеличилось количество проверок соблюдения требований,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 w:val="0"/>
          <w:sz w:val="26"/>
          <w:szCs w:val="26"/>
        </w:rPr>
        <w:t>; при этом сократилось в 2,5 раза количество проверок, в результате которых выявлены нарушения законодательства о контрактной системе в сфере закупок, и в 4 раза сократилось количество выявленных фактов нарушения данного законодательства,  что свидетельствует о значительном улучшении работы в данном направлении;</w:t>
      </w:r>
    </w:p>
    <w:p w:rsidR="005C51B2" w:rsidRDefault="005C51B2" w:rsidP="005C51B2">
      <w:pPr>
        <w:pStyle w:val="ConsPlusTitle"/>
        <w:widowControl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 xml:space="preserve">- </w:t>
      </w:r>
      <w:r w:rsidRPr="007D3BCD">
        <w:rPr>
          <w:b w:val="0"/>
          <w:sz w:val="26"/>
          <w:szCs w:val="26"/>
        </w:rPr>
        <w:t>к</w:t>
      </w:r>
      <w:r w:rsidRPr="007D3BCD">
        <w:rPr>
          <w:rFonts w:eastAsia="Calibri"/>
          <w:b w:val="0"/>
          <w:sz w:val="26"/>
          <w:szCs w:val="26"/>
          <w:lang w:eastAsia="en-US"/>
        </w:rPr>
        <w:t>оличество возбужденных уголовных дел по фактам коррупции</w:t>
      </w:r>
      <w:r>
        <w:rPr>
          <w:rFonts w:eastAsia="Calibri"/>
          <w:b w:val="0"/>
          <w:sz w:val="26"/>
          <w:szCs w:val="26"/>
          <w:lang w:eastAsia="en-US"/>
        </w:rPr>
        <w:t xml:space="preserve"> осталось на том же уровне, что и в 2017 году</w:t>
      </w:r>
      <w:r w:rsidRPr="007D3BCD">
        <w:rPr>
          <w:rFonts w:eastAsia="Calibri"/>
          <w:b w:val="0"/>
          <w:sz w:val="26"/>
          <w:szCs w:val="26"/>
          <w:lang w:eastAsia="en-US"/>
        </w:rPr>
        <w:t>, за совершение коррупционных прес</w:t>
      </w:r>
      <w:r>
        <w:rPr>
          <w:rFonts w:eastAsia="Calibri"/>
          <w:b w:val="0"/>
          <w:sz w:val="26"/>
          <w:szCs w:val="26"/>
          <w:lang w:eastAsia="en-US"/>
        </w:rPr>
        <w:t>туплений в 1 квартале 2018 года</w:t>
      </w:r>
      <w:r w:rsidRPr="00DB39C6">
        <w:rPr>
          <w:rFonts w:eastAsia="Calibri"/>
          <w:b w:val="0"/>
          <w:sz w:val="26"/>
          <w:szCs w:val="26"/>
          <w:lang w:eastAsia="en-US"/>
        </w:rPr>
        <w:t xml:space="preserve"> </w:t>
      </w:r>
      <w:r w:rsidRPr="007D3BCD">
        <w:rPr>
          <w:rFonts w:eastAsia="Calibri"/>
          <w:b w:val="0"/>
          <w:sz w:val="26"/>
          <w:szCs w:val="26"/>
          <w:lang w:eastAsia="en-US"/>
        </w:rPr>
        <w:t>осужден</w:t>
      </w:r>
      <w:r>
        <w:rPr>
          <w:rFonts w:eastAsia="Calibri"/>
          <w:b w:val="0"/>
          <w:sz w:val="26"/>
          <w:szCs w:val="26"/>
          <w:lang w:eastAsia="en-US"/>
        </w:rPr>
        <w:t xml:space="preserve"> 1 челове</w:t>
      </w:r>
      <w:bookmarkStart w:id="0" w:name="_GoBack"/>
      <w:bookmarkEnd w:id="0"/>
      <w:r>
        <w:rPr>
          <w:rFonts w:eastAsia="Calibri"/>
          <w:b w:val="0"/>
          <w:sz w:val="26"/>
          <w:szCs w:val="26"/>
          <w:lang w:eastAsia="en-US"/>
        </w:rPr>
        <w:t>к, являвшийся федеральным государственным служащим;</w:t>
      </w:r>
      <w:proofErr w:type="gramEnd"/>
    </w:p>
    <w:p w:rsidR="005C51B2" w:rsidRPr="00203B9F" w:rsidRDefault="005C51B2" w:rsidP="005C51B2">
      <w:pPr>
        <w:pStyle w:val="ConsPlusTitle"/>
        <w:widowControl/>
        <w:jc w:val="both"/>
        <w:rPr>
          <w:rFonts w:eastAsia="Calibri"/>
          <w:b w:val="0"/>
          <w:sz w:val="26"/>
          <w:szCs w:val="26"/>
          <w:lang w:eastAsia="en-US"/>
        </w:rPr>
      </w:pPr>
      <w:r>
        <w:rPr>
          <w:rFonts w:eastAsia="Calibri"/>
          <w:b w:val="0"/>
          <w:sz w:val="26"/>
          <w:szCs w:val="26"/>
          <w:lang w:eastAsia="en-US"/>
        </w:rPr>
        <w:t>- количество обращений граждан о фактах коррупционных правонарушений в органах местного самоуправления Нефтеюганского района остается также на 0-вом уровне.</w:t>
      </w:r>
    </w:p>
    <w:p w:rsidR="005C51B2" w:rsidRPr="00D162AD" w:rsidRDefault="005C51B2" w:rsidP="005C51B2">
      <w:pPr>
        <w:jc w:val="both"/>
        <w:rPr>
          <w:sz w:val="26"/>
          <w:szCs w:val="26"/>
        </w:rPr>
      </w:pPr>
    </w:p>
    <w:p w:rsidR="005C51B2" w:rsidRPr="00473D4F" w:rsidRDefault="005C51B2" w:rsidP="005C51B2">
      <w:pPr>
        <w:jc w:val="both"/>
        <w:rPr>
          <w:sz w:val="26"/>
          <w:szCs w:val="26"/>
        </w:rPr>
      </w:pPr>
    </w:p>
    <w:p w:rsidR="005C51B2" w:rsidRDefault="005C51B2" w:rsidP="004149B9"/>
    <w:sectPr w:rsidR="005C51B2" w:rsidSect="00152581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AF" w:rsidRDefault="00433BAF">
      <w:r>
        <w:separator/>
      </w:r>
    </w:p>
  </w:endnote>
  <w:endnote w:type="continuationSeparator" w:id="0">
    <w:p w:rsidR="00433BAF" w:rsidRDefault="0043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AF" w:rsidRDefault="00433BAF">
      <w:r>
        <w:separator/>
      </w:r>
    </w:p>
  </w:footnote>
  <w:footnote w:type="continuationSeparator" w:id="0">
    <w:p w:rsidR="00433BAF" w:rsidRDefault="0043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67A7553"/>
    <w:multiLevelType w:val="hybridMultilevel"/>
    <w:tmpl w:val="DCAAEE24"/>
    <w:lvl w:ilvl="0" w:tplc="8C123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373B"/>
    <w:rsid w:val="00005FB2"/>
    <w:rsid w:val="00007B8D"/>
    <w:rsid w:val="000146AB"/>
    <w:rsid w:val="00016400"/>
    <w:rsid w:val="00017435"/>
    <w:rsid w:val="00021BF2"/>
    <w:rsid w:val="000220FD"/>
    <w:rsid w:val="00023BEF"/>
    <w:rsid w:val="00023FC6"/>
    <w:rsid w:val="00023FE4"/>
    <w:rsid w:val="0003184A"/>
    <w:rsid w:val="00031FBD"/>
    <w:rsid w:val="00033EE6"/>
    <w:rsid w:val="0003574A"/>
    <w:rsid w:val="00036C7B"/>
    <w:rsid w:val="000374A7"/>
    <w:rsid w:val="0003788D"/>
    <w:rsid w:val="000410AF"/>
    <w:rsid w:val="00043F26"/>
    <w:rsid w:val="000447ED"/>
    <w:rsid w:val="00047982"/>
    <w:rsid w:val="00050070"/>
    <w:rsid w:val="00051184"/>
    <w:rsid w:val="00051D56"/>
    <w:rsid w:val="0005351D"/>
    <w:rsid w:val="0006044A"/>
    <w:rsid w:val="00065268"/>
    <w:rsid w:val="00065B54"/>
    <w:rsid w:val="00066AF5"/>
    <w:rsid w:val="000704BE"/>
    <w:rsid w:val="0007287E"/>
    <w:rsid w:val="00074370"/>
    <w:rsid w:val="000746B0"/>
    <w:rsid w:val="000748ED"/>
    <w:rsid w:val="00076B00"/>
    <w:rsid w:val="00077A0E"/>
    <w:rsid w:val="000838FD"/>
    <w:rsid w:val="00091FBA"/>
    <w:rsid w:val="000943B1"/>
    <w:rsid w:val="000962E6"/>
    <w:rsid w:val="000A2208"/>
    <w:rsid w:val="000A41F4"/>
    <w:rsid w:val="000A5A3E"/>
    <w:rsid w:val="000B32BB"/>
    <w:rsid w:val="000B4617"/>
    <w:rsid w:val="000B4BFE"/>
    <w:rsid w:val="000B630C"/>
    <w:rsid w:val="000C1431"/>
    <w:rsid w:val="000C3899"/>
    <w:rsid w:val="000C4D71"/>
    <w:rsid w:val="000C55E8"/>
    <w:rsid w:val="000C6492"/>
    <w:rsid w:val="000D10AF"/>
    <w:rsid w:val="000D1BA1"/>
    <w:rsid w:val="000D2DC1"/>
    <w:rsid w:val="000D3E52"/>
    <w:rsid w:val="000E234B"/>
    <w:rsid w:val="000E26FA"/>
    <w:rsid w:val="000E2DFD"/>
    <w:rsid w:val="000E4D64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2581"/>
    <w:rsid w:val="00161EF5"/>
    <w:rsid w:val="00163983"/>
    <w:rsid w:val="00167078"/>
    <w:rsid w:val="00167663"/>
    <w:rsid w:val="0017165A"/>
    <w:rsid w:val="00173357"/>
    <w:rsid w:val="00173A76"/>
    <w:rsid w:val="00177273"/>
    <w:rsid w:val="00177342"/>
    <w:rsid w:val="00185BFB"/>
    <w:rsid w:val="00186C10"/>
    <w:rsid w:val="00186D2E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A586C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C704D"/>
    <w:rsid w:val="001D003C"/>
    <w:rsid w:val="001D1E6A"/>
    <w:rsid w:val="001D4880"/>
    <w:rsid w:val="001D5531"/>
    <w:rsid w:val="001D659C"/>
    <w:rsid w:val="001D6AC6"/>
    <w:rsid w:val="001E2887"/>
    <w:rsid w:val="001E488E"/>
    <w:rsid w:val="001F38C3"/>
    <w:rsid w:val="001F6014"/>
    <w:rsid w:val="001F6545"/>
    <w:rsid w:val="001F69D7"/>
    <w:rsid w:val="0020004E"/>
    <w:rsid w:val="00200E60"/>
    <w:rsid w:val="002030F0"/>
    <w:rsid w:val="00203607"/>
    <w:rsid w:val="002061A4"/>
    <w:rsid w:val="00211EAE"/>
    <w:rsid w:val="002121CA"/>
    <w:rsid w:val="002148F8"/>
    <w:rsid w:val="002164B4"/>
    <w:rsid w:val="00222515"/>
    <w:rsid w:val="002230C7"/>
    <w:rsid w:val="002263E4"/>
    <w:rsid w:val="002275FB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56905"/>
    <w:rsid w:val="00261641"/>
    <w:rsid w:val="002635B2"/>
    <w:rsid w:val="00264E13"/>
    <w:rsid w:val="002747F9"/>
    <w:rsid w:val="0028231C"/>
    <w:rsid w:val="00282F30"/>
    <w:rsid w:val="002836CF"/>
    <w:rsid w:val="002841C9"/>
    <w:rsid w:val="00287567"/>
    <w:rsid w:val="002A00A3"/>
    <w:rsid w:val="002A12B5"/>
    <w:rsid w:val="002A3681"/>
    <w:rsid w:val="002A5021"/>
    <w:rsid w:val="002B3062"/>
    <w:rsid w:val="002B3DB3"/>
    <w:rsid w:val="002B79F6"/>
    <w:rsid w:val="002C0CC8"/>
    <w:rsid w:val="002C3060"/>
    <w:rsid w:val="002C4A7E"/>
    <w:rsid w:val="002C52BE"/>
    <w:rsid w:val="002C54D8"/>
    <w:rsid w:val="002C6CD5"/>
    <w:rsid w:val="002D0E3B"/>
    <w:rsid w:val="002D4F1B"/>
    <w:rsid w:val="002D5CFE"/>
    <w:rsid w:val="002D746D"/>
    <w:rsid w:val="002E1F33"/>
    <w:rsid w:val="002E4A89"/>
    <w:rsid w:val="002E4E43"/>
    <w:rsid w:val="002F1543"/>
    <w:rsid w:val="002F258B"/>
    <w:rsid w:val="00301A2F"/>
    <w:rsid w:val="00302AC9"/>
    <w:rsid w:val="00304BA1"/>
    <w:rsid w:val="00313913"/>
    <w:rsid w:val="00316BFE"/>
    <w:rsid w:val="003205E4"/>
    <w:rsid w:val="003219EA"/>
    <w:rsid w:val="00323C45"/>
    <w:rsid w:val="00325BFB"/>
    <w:rsid w:val="00325FC0"/>
    <w:rsid w:val="0033139B"/>
    <w:rsid w:val="00331BB9"/>
    <w:rsid w:val="0033667F"/>
    <w:rsid w:val="00336EC4"/>
    <w:rsid w:val="00340482"/>
    <w:rsid w:val="00342F8A"/>
    <w:rsid w:val="0034479F"/>
    <w:rsid w:val="0034699E"/>
    <w:rsid w:val="003511D0"/>
    <w:rsid w:val="00353C36"/>
    <w:rsid w:val="00354087"/>
    <w:rsid w:val="003550EB"/>
    <w:rsid w:val="00357B64"/>
    <w:rsid w:val="00360679"/>
    <w:rsid w:val="00364190"/>
    <w:rsid w:val="0036509A"/>
    <w:rsid w:val="00365C6B"/>
    <w:rsid w:val="0036665A"/>
    <w:rsid w:val="00371DBE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A4C58"/>
    <w:rsid w:val="003B3042"/>
    <w:rsid w:val="003B3A0D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40043A"/>
    <w:rsid w:val="0040043E"/>
    <w:rsid w:val="00402242"/>
    <w:rsid w:val="004043BB"/>
    <w:rsid w:val="00404951"/>
    <w:rsid w:val="004073C0"/>
    <w:rsid w:val="00413969"/>
    <w:rsid w:val="00414122"/>
    <w:rsid w:val="004149B9"/>
    <w:rsid w:val="00415B75"/>
    <w:rsid w:val="004163A4"/>
    <w:rsid w:val="0041734C"/>
    <w:rsid w:val="00420525"/>
    <w:rsid w:val="0042272D"/>
    <w:rsid w:val="0042419F"/>
    <w:rsid w:val="004249F1"/>
    <w:rsid w:val="00425524"/>
    <w:rsid w:val="00425C2B"/>
    <w:rsid w:val="00432F37"/>
    <w:rsid w:val="00433BAF"/>
    <w:rsid w:val="00433C89"/>
    <w:rsid w:val="00434226"/>
    <w:rsid w:val="00434F21"/>
    <w:rsid w:val="00435D83"/>
    <w:rsid w:val="004401C8"/>
    <w:rsid w:val="0044049B"/>
    <w:rsid w:val="00440522"/>
    <w:rsid w:val="00440B11"/>
    <w:rsid w:val="00450128"/>
    <w:rsid w:val="00452EF4"/>
    <w:rsid w:val="0046119B"/>
    <w:rsid w:val="00461A4E"/>
    <w:rsid w:val="004624FC"/>
    <w:rsid w:val="004652F6"/>
    <w:rsid w:val="004756AE"/>
    <w:rsid w:val="00480312"/>
    <w:rsid w:val="00484336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9FA"/>
    <w:rsid w:val="004A5DEF"/>
    <w:rsid w:val="004A69F3"/>
    <w:rsid w:val="004A7453"/>
    <w:rsid w:val="004B57DB"/>
    <w:rsid w:val="004C24ED"/>
    <w:rsid w:val="004C3E78"/>
    <w:rsid w:val="004C3FEF"/>
    <w:rsid w:val="004C55C1"/>
    <w:rsid w:val="004C6E34"/>
    <w:rsid w:val="004C76A9"/>
    <w:rsid w:val="004D16DB"/>
    <w:rsid w:val="004D3977"/>
    <w:rsid w:val="004D5923"/>
    <w:rsid w:val="004D791A"/>
    <w:rsid w:val="004E1233"/>
    <w:rsid w:val="004E12CB"/>
    <w:rsid w:val="004E1C58"/>
    <w:rsid w:val="004E204F"/>
    <w:rsid w:val="004E208B"/>
    <w:rsid w:val="004E3CCC"/>
    <w:rsid w:val="004E55F4"/>
    <w:rsid w:val="004E5BBE"/>
    <w:rsid w:val="004E6424"/>
    <w:rsid w:val="004E7EE5"/>
    <w:rsid w:val="004F1192"/>
    <w:rsid w:val="004F1329"/>
    <w:rsid w:val="004F2982"/>
    <w:rsid w:val="004F41AC"/>
    <w:rsid w:val="00501782"/>
    <w:rsid w:val="005018FC"/>
    <w:rsid w:val="00502C43"/>
    <w:rsid w:val="00505DDC"/>
    <w:rsid w:val="00507CC9"/>
    <w:rsid w:val="0051102D"/>
    <w:rsid w:val="005127C2"/>
    <w:rsid w:val="00512D8B"/>
    <w:rsid w:val="00517727"/>
    <w:rsid w:val="0051793F"/>
    <w:rsid w:val="00520CC8"/>
    <w:rsid w:val="00522870"/>
    <w:rsid w:val="00523B86"/>
    <w:rsid w:val="005249E7"/>
    <w:rsid w:val="005250FD"/>
    <w:rsid w:val="0052616A"/>
    <w:rsid w:val="00527A27"/>
    <w:rsid w:val="0053010E"/>
    <w:rsid w:val="00530AA1"/>
    <w:rsid w:val="005327F8"/>
    <w:rsid w:val="0053294F"/>
    <w:rsid w:val="0054255E"/>
    <w:rsid w:val="005452AF"/>
    <w:rsid w:val="00553A20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0E55"/>
    <w:rsid w:val="005714DF"/>
    <w:rsid w:val="00573827"/>
    <w:rsid w:val="00581959"/>
    <w:rsid w:val="005859D2"/>
    <w:rsid w:val="0058682B"/>
    <w:rsid w:val="005871B8"/>
    <w:rsid w:val="0058744F"/>
    <w:rsid w:val="00591A19"/>
    <w:rsid w:val="00591ACB"/>
    <w:rsid w:val="00593EC8"/>
    <w:rsid w:val="005953EE"/>
    <w:rsid w:val="0059755F"/>
    <w:rsid w:val="00597BBC"/>
    <w:rsid w:val="005A07B4"/>
    <w:rsid w:val="005A194C"/>
    <w:rsid w:val="005A19A2"/>
    <w:rsid w:val="005A21F1"/>
    <w:rsid w:val="005A2A13"/>
    <w:rsid w:val="005A368D"/>
    <w:rsid w:val="005A3BC7"/>
    <w:rsid w:val="005A3E2C"/>
    <w:rsid w:val="005A56F7"/>
    <w:rsid w:val="005A59AC"/>
    <w:rsid w:val="005A60EF"/>
    <w:rsid w:val="005A7F17"/>
    <w:rsid w:val="005B2CC7"/>
    <w:rsid w:val="005C4082"/>
    <w:rsid w:val="005C51B2"/>
    <w:rsid w:val="005C563D"/>
    <w:rsid w:val="005D037F"/>
    <w:rsid w:val="005D4715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10E8A"/>
    <w:rsid w:val="00610FE8"/>
    <w:rsid w:val="00613A87"/>
    <w:rsid w:val="00613B6A"/>
    <w:rsid w:val="0061492A"/>
    <w:rsid w:val="00614F53"/>
    <w:rsid w:val="00620D3A"/>
    <w:rsid w:val="00624924"/>
    <w:rsid w:val="00626AB8"/>
    <w:rsid w:val="0063050B"/>
    <w:rsid w:val="006329CB"/>
    <w:rsid w:val="00632D56"/>
    <w:rsid w:val="00633538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1AC"/>
    <w:rsid w:val="00674366"/>
    <w:rsid w:val="006752FE"/>
    <w:rsid w:val="00683A2D"/>
    <w:rsid w:val="00683B9A"/>
    <w:rsid w:val="006854D2"/>
    <w:rsid w:val="006874FC"/>
    <w:rsid w:val="006876E5"/>
    <w:rsid w:val="00692644"/>
    <w:rsid w:val="0069280E"/>
    <w:rsid w:val="00693349"/>
    <w:rsid w:val="006A6FC0"/>
    <w:rsid w:val="006A78C1"/>
    <w:rsid w:val="006A7D3C"/>
    <w:rsid w:val="006B115A"/>
    <w:rsid w:val="006C1D88"/>
    <w:rsid w:val="006C39B3"/>
    <w:rsid w:val="006C41D3"/>
    <w:rsid w:val="006C774D"/>
    <w:rsid w:val="006C7AAD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F0A49"/>
    <w:rsid w:val="006F42E1"/>
    <w:rsid w:val="006F5E1F"/>
    <w:rsid w:val="006F7AAB"/>
    <w:rsid w:val="00700233"/>
    <w:rsid w:val="00703040"/>
    <w:rsid w:val="00703E7B"/>
    <w:rsid w:val="00703F90"/>
    <w:rsid w:val="00707D22"/>
    <w:rsid w:val="00707E3A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4F77"/>
    <w:rsid w:val="007560BD"/>
    <w:rsid w:val="00765AEB"/>
    <w:rsid w:val="007679DC"/>
    <w:rsid w:val="00781940"/>
    <w:rsid w:val="007848E3"/>
    <w:rsid w:val="00784976"/>
    <w:rsid w:val="00785016"/>
    <w:rsid w:val="0078520A"/>
    <w:rsid w:val="00790F83"/>
    <w:rsid w:val="007A48B1"/>
    <w:rsid w:val="007A4CA8"/>
    <w:rsid w:val="007A6DC9"/>
    <w:rsid w:val="007A7BCF"/>
    <w:rsid w:val="007B0522"/>
    <w:rsid w:val="007B1531"/>
    <w:rsid w:val="007B6F61"/>
    <w:rsid w:val="007B7248"/>
    <w:rsid w:val="007B73D4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7F6E3F"/>
    <w:rsid w:val="00802F00"/>
    <w:rsid w:val="00803823"/>
    <w:rsid w:val="00803A2F"/>
    <w:rsid w:val="00804E4C"/>
    <w:rsid w:val="00807F09"/>
    <w:rsid w:val="00811D5D"/>
    <w:rsid w:val="00814B40"/>
    <w:rsid w:val="0082515A"/>
    <w:rsid w:val="00826A58"/>
    <w:rsid w:val="00830A0D"/>
    <w:rsid w:val="00834B48"/>
    <w:rsid w:val="00834F29"/>
    <w:rsid w:val="00841979"/>
    <w:rsid w:val="008530D1"/>
    <w:rsid w:val="008570F6"/>
    <w:rsid w:val="00860C5A"/>
    <w:rsid w:val="008626EB"/>
    <w:rsid w:val="00863848"/>
    <w:rsid w:val="008642D9"/>
    <w:rsid w:val="008648D2"/>
    <w:rsid w:val="008661AF"/>
    <w:rsid w:val="00866E7E"/>
    <w:rsid w:val="00867FC6"/>
    <w:rsid w:val="00871880"/>
    <w:rsid w:val="00871EA8"/>
    <w:rsid w:val="008724A8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0072"/>
    <w:rsid w:val="00891EEC"/>
    <w:rsid w:val="008942D3"/>
    <w:rsid w:val="008956DA"/>
    <w:rsid w:val="008A2365"/>
    <w:rsid w:val="008A3B87"/>
    <w:rsid w:val="008A5A02"/>
    <w:rsid w:val="008A6CC2"/>
    <w:rsid w:val="008A76A1"/>
    <w:rsid w:val="008B12AD"/>
    <w:rsid w:val="008B1C8A"/>
    <w:rsid w:val="008B2845"/>
    <w:rsid w:val="008B2E4D"/>
    <w:rsid w:val="008B3066"/>
    <w:rsid w:val="008B350A"/>
    <w:rsid w:val="008B4F10"/>
    <w:rsid w:val="008B661E"/>
    <w:rsid w:val="008B726D"/>
    <w:rsid w:val="008C2E51"/>
    <w:rsid w:val="008C4310"/>
    <w:rsid w:val="008C52F7"/>
    <w:rsid w:val="008C6E3D"/>
    <w:rsid w:val="008C7AC1"/>
    <w:rsid w:val="008D36FB"/>
    <w:rsid w:val="008D52EF"/>
    <w:rsid w:val="008E51ED"/>
    <w:rsid w:val="008F18B1"/>
    <w:rsid w:val="008F39D9"/>
    <w:rsid w:val="008F50BB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41FE"/>
    <w:rsid w:val="009156F6"/>
    <w:rsid w:val="00915D84"/>
    <w:rsid w:val="00916F4A"/>
    <w:rsid w:val="00921477"/>
    <w:rsid w:val="009221CA"/>
    <w:rsid w:val="009228CB"/>
    <w:rsid w:val="0092508B"/>
    <w:rsid w:val="009322DF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837"/>
    <w:rsid w:val="00960EA1"/>
    <w:rsid w:val="00961C58"/>
    <w:rsid w:val="009636E4"/>
    <w:rsid w:val="00963EF0"/>
    <w:rsid w:val="00963FE9"/>
    <w:rsid w:val="00964486"/>
    <w:rsid w:val="009650D6"/>
    <w:rsid w:val="00967CC2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A5448"/>
    <w:rsid w:val="009B5731"/>
    <w:rsid w:val="009C1A80"/>
    <w:rsid w:val="009D0D50"/>
    <w:rsid w:val="009D1DA6"/>
    <w:rsid w:val="009D240E"/>
    <w:rsid w:val="009D644F"/>
    <w:rsid w:val="009D7C81"/>
    <w:rsid w:val="009E34DF"/>
    <w:rsid w:val="009F070B"/>
    <w:rsid w:val="009F47EE"/>
    <w:rsid w:val="009F5E45"/>
    <w:rsid w:val="00A00C79"/>
    <w:rsid w:val="00A025E1"/>
    <w:rsid w:val="00A03A1D"/>
    <w:rsid w:val="00A0674F"/>
    <w:rsid w:val="00A06783"/>
    <w:rsid w:val="00A10E30"/>
    <w:rsid w:val="00A1180A"/>
    <w:rsid w:val="00A12A70"/>
    <w:rsid w:val="00A12B88"/>
    <w:rsid w:val="00A12E95"/>
    <w:rsid w:val="00A1421A"/>
    <w:rsid w:val="00A14337"/>
    <w:rsid w:val="00A14C17"/>
    <w:rsid w:val="00A1523E"/>
    <w:rsid w:val="00A277F0"/>
    <w:rsid w:val="00A31B02"/>
    <w:rsid w:val="00A322CD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55075"/>
    <w:rsid w:val="00A61469"/>
    <w:rsid w:val="00A64D5B"/>
    <w:rsid w:val="00A7022C"/>
    <w:rsid w:val="00A704D5"/>
    <w:rsid w:val="00A70D4B"/>
    <w:rsid w:val="00A73645"/>
    <w:rsid w:val="00A73AD8"/>
    <w:rsid w:val="00A75464"/>
    <w:rsid w:val="00A75FAE"/>
    <w:rsid w:val="00A8063D"/>
    <w:rsid w:val="00A81EFD"/>
    <w:rsid w:val="00A823D6"/>
    <w:rsid w:val="00A83004"/>
    <w:rsid w:val="00A83A6B"/>
    <w:rsid w:val="00A85035"/>
    <w:rsid w:val="00A8548C"/>
    <w:rsid w:val="00A92671"/>
    <w:rsid w:val="00A94EED"/>
    <w:rsid w:val="00A95246"/>
    <w:rsid w:val="00A95282"/>
    <w:rsid w:val="00A979FA"/>
    <w:rsid w:val="00AA0156"/>
    <w:rsid w:val="00AA3938"/>
    <w:rsid w:val="00AA3F87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D1767"/>
    <w:rsid w:val="00AE0CA9"/>
    <w:rsid w:val="00AE2887"/>
    <w:rsid w:val="00AE2E63"/>
    <w:rsid w:val="00AE3984"/>
    <w:rsid w:val="00AE3F75"/>
    <w:rsid w:val="00AE5910"/>
    <w:rsid w:val="00AE6A7B"/>
    <w:rsid w:val="00AE7B71"/>
    <w:rsid w:val="00AF28D6"/>
    <w:rsid w:val="00B02484"/>
    <w:rsid w:val="00B02B57"/>
    <w:rsid w:val="00B05196"/>
    <w:rsid w:val="00B06856"/>
    <w:rsid w:val="00B101AC"/>
    <w:rsid w:val="00B1262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5A0"/>
    <w:rsid w:val="00B438F1"/>
    <w:rsid w:val="00B4551E"/>
    <w:rsid w:val="00B4676A"/>
    <w:rsid w:val="00B50EDB"/>
    <w:rsid w:val="00B56868"/>
    <w:rsid w:val="00B574FD"/>
    <w:rsid w:val="00B57D38"/>
    <w:rsid w:val="00B605B0"/>
    <w:rsid w:val="00B63831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2681"/>
    <w:rsid w:val="00BD3106"/>
    <w:rsid w:val="00BD584F"/>
    <w:rsid w:val="00BD6D29"/>
    <w:rsid w:val="00BE2688"/>
    <w:rsid w:val="00BE3D68"/>
    <w:rsid w:val="00BE4C81"/>
    <w:rsid w:val="00BE6D5F"/>
    <w:rsid w:val="00BE6FE6"/>
    <w:rsid w:val="00BE7872"/>
    <w:rsid w:val="00BF7EC0"/>
    <w:rsid w:val="00C0145E"/>
    <w:rsid w:val="00C044DB"/>
    <w:rsid w:val="00C05683"/>
    <w:rsid w:val="00C113D5"/>
    <w:rsid w:val="00C1207D"/>
    <w:rsid w:val="00C14A2C"/>
    <w:rsid w:val="00C15713"/>
    <w:rsid w:val="00C15764"/>
    <w:rsid w:val="00C165E0"/>
    <w:rsid w:val="00C17EF6"/>
    <w:rsid w:val="00C2617B"/>
    <w:rsid w:val="00C26F05"/>
    <w:rsid w:val="00C27AB9"/>
    <w:rsid w:val="00C31192"/>
    <w:rsid w:val="00C34612"/>
    <w:rsid w:val="00C352A0"/>
    <w:rsid w:val="00C402E4"/>
    <w:rsid w:val="00C436B9"/>
    <w:rsid w:val="00C43C4D"/>
    <w:rsid w:val="00C45E2D"/>
    <w:rsid w:val="00C474AD"/>
    <w:rsid w:val="00C5554F"/>
    <w:rsid w:val="00C564EB"/>
    <w:rsid w:val="00C5709D"/>
    <w:rsid w:val="00C65128"/>
    <w:rsid w:val="00C658AE"/>
    <w:rsid w:val="00C66501"/>
    <w:rsid w:val="00C70107"/>
    <w:rsid w:val="00C710BB"/>
    <w:rsid w:val="00C72FA1"/>
    <w:rsid w:val="00C73665"/>
    <w:rsid w:val="00C766C1"/>
    <w:rsid w:val="00C77062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B23DE"/>
    <w:rsid w:val="00CB7E01"/>
    <w:rsid w:val="00CC1BEC"/>
    <w:rsid w:val="00CC7CDE"/>
    <w:rsid w:val="00CD0E2B"/>
    <w:rsid w:val="00CD1A51"/>
    <w:rsid w:val="00CD7BB3"/>
    <w:rsid w:val="00CE1611"/>
    <w:rsid w:val="00CE1745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150AB"/>
    <w:rsid w:val="00D17B97"/>
    <w:rsid w:val="00D2316B"/>
    <w:rsid w:val="00D2384B"/>
    <w:rsid w:val="00D30394"/>
    <w:rsid w:val="00D31D8C"/>
    <w:rsid w:val="00D33A01"/>
    <w:rsid w:val="00D33B88"/>
    <w:rsid w:val="00D34F80"/>
    <w:rsid w:val="00D37306"/>
    <w:rsid w:val="00D400E5"/>
    <w:rsid w:val="00D410CD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2D37"/>
    <w:rsid w:val="00D7322B"/>
    <w:rsid w:val="00D73E89"/>
    <w:rsid w:val="00D74256"/>
    <w:rsid w:val="00D80112"/>
    <w:rsid w:val="00D807F1"/>
    <w:rsid w:val="00D84F6F"/>
    <w:rsid w:val="00D86FF2"/>
    <w:rsid w:val="00D90110"/>
    <w:rsid w:val="00D935CB"/>
    <w:rsid w:val="00D94CA8"/>
    <w:rsid w:val="00D94CB0"/>
    <w:rsid w:val="00DA21D0"/>
    <w:rsid w:val="00DA2E25"/>
    <w:rsid w:val="00DA3A9D"/>
    <w:rsid w:val="00DB0810"/>
    <w:rsid w:val="00DB3148"/>
    <w:rsid w:val="00DB658C"/>
    <w:rsid w:val="00DC1CDE"/>
    <w:rsid w:val="00DC394D"/>
    <w:rsid w:val="00DC49DE"/>
    <w:rsid w:val="00DC52C5"/>
    <w:rsid w:val="00DC5C5B"/>
    <w:rsid w:val="00DC67CB"/>
    <w:rsid w:val="00DD1658"/>
    <w:rsid w:val="00DD3169"/>
    <w:rsid w:val="00DD5D64"/>
    <w:rsid w:val="00DE0D7F"/>
    <w:rsid w:val="00DE3042"/>
    <w:rsid w:val="00DE7918"/>
    <w:rsid w:val="00DF002F"/>
    <w:rsid w:val="00DF2B52"/>
    <w:rsid w:val="00DF394A"/>
    <w:rsid w:val="00DF5C17"/>
    <w:rsid w:val="00E01A46"/>
    <w:rsid w:val="00E02448"/>
    <w:rsid w:val="00E03858"/>
    <w:rsid w:val="00E04157"/>
    <w:rsid w:val="00E04512"/>
    <w:rsid w:val="00E0456F"/>
    <w:rsid w:val="00E05172"/>
    <w:rsid w:val="00E13124"/>
    <w:rsid w:val="00E139BF"/>
    <w:rsid w:val="00E1590D"/>
    <w:rsid w:val="00E17171"/>
    <w:rsid w:val="00E17914"/>
    <w:rsid w:val="00E200D9"/>
    <w:rsid w:val="00E2524A"/>
    <w:rsid w:val="00E30051"/>
    <w:rsid w:val="00E30DD4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0E92"/>
    <w:rsid w:val="00E71FED"/>
    <w:rsid w:val="00E7387A"/>
    <w:rsid w:val="00E7435B"/>
    <w:rsid w:val="00E76FC1"/>
    <w:rsid w:val="00E81232"/>
    <w:rsid w:val="00E81EC8"/>
    <w:rsid w:val="00E82D56"/>
    <w:rsid w:val="00E83444"/>
    <w:rsid w:val="00E83A85"/>
    <w:rsid w:val="00E83E5E"/>
    <w:rsid w:val="00E91814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EF4DE9"/>
    <w:rsid w:val="00EF659C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27FC8"/>
    <w:rsid w:val="00F31890"/>
    <w:rsid w:val="00F373EB"/>
    <w:rsid w:val="00F41A4F"/>
    <w:rsid w:val="00F42922"/>
    <w:rsid w:val="00F42CCC"/>
    <w:rsid w:val="00F43174"/>
    <w:rsid w:val="00F443C2"/>
    <w:rsid w:val="00F45771"/>
    <w:rsid w:val="00F461D2"/>
    <w:rsid w:val="00F47FD9"/>
    <w:rsid w:val="00F501F9"/>
    <w:rsid w:val="00F56C93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2BCE"/>
    <w:rsid w:val="00F8362E"/>
    <w:rsid w:val="00F83CFF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6AFB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uiPriority w:val="99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1"/>
    <w:uiPriority w:val="59"/>
    <w:rsid w:val="001C70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BD0A1-12CD-480C-97CB-75D32A5C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14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Беляева Евгения Анатольевна</cp:lastModifiedBy>
  <cp:revision>99</cp:revision>
  <cp:lastPrinted>2017-05-25T11:32:00Z</cp:lastPrinted>
  <dcterms:created xsi:type="dcterms:W3CDTF">2017-02-08T06:25:00Z</dcterms:created>
  <dcterms:modified xsi:type="dcterms:W3CDTF">2018-04-25T09:46:00Z</dcterms:modified>
</cp:coreProperties>
</file>