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4256B4" w:rsidP="004256B4">
      <w:pPr>
        <w:jc w:val="right"/>
      </w:pPr>
      <w:r>
        <w:t>ВОПРОС 9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F370AD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городского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Соотношение количества нормативных правовых актов Нефтеюганского района, в отношении которых проведена независимая</w:t>
            </w:r>
            <w:r w:rsidR="00920E4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антикоррупционная экспертиза, к количеству действующих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09.04.2015 № 333-юр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>
              <w:rPr>
                <w:b w:val="0"/>
                <w:sz w:val="24"/>
                <w:szCs w:val="24"/>
              </w:rPr>
              <w:t>/22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CF2938">
              <w:rPr>
                <w:b w:val="0"/>
                <w:sz w:val="24"/>
                <w:szCs w:val="24"/>
              </w:rPr>
              <w:t>1/0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п.4:    24/24</w:t>
            </w:r>
          </w:p>
          <w:p w:rsidR="00F52919" w:rsidRP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п.5:    22/22</w:t>
            </w:r>
          </w:p>
          <w:p w:rsidR="00F52919" w:rsidRDefault="00F52919" w:rsidP="00F52919">
            <w:r>
              <w:t xml:space="preserve">п.6:    </w:t>
            </w:r>
            <w:r w:rsidR="004256B4">
              <w:t>4,5%</w:t>
            </w:r>
          </w:p>
          <w:p w:rsidR="00CA57EE" w:rsidRDefault="00F52919" w:rsidP="00F52919">
            <w:r>
              <w:t>п.7:    1/0</w:t>
            </w:r>
          </w:p>
          <w:p w:rsidR="00F52919" w:rsidRDefault="00F52919" w:rsidP="00F52919">
            <w:r>
              <w:t>п.8:    2/2</w:t>
            </w:r>
          </w:p>
          <w:p w:rsidR="00920E43" w:rsidRDefault="00375F2E" w:rsidP="00375F2E">
            <w:pPr>
              <w:jc w:val="center"/>
            </w:pPr>
            <w:r>
              <w:t>А</w:t>
            </w:r>
            <w:r w:rsidRPr="00F52919">
              <w:t>налитическая</w:t>
            </w:r>
            <w:r w:rsidRPr="00F52919">
              <w:br/>
              <w:t xml:space="preserve">справка </w:t>
            </w:r>
            <w:r>
              <w:t>юридическо-правового управления аппарата Думы Нефтеюганского района от 09.04.2015</w:t>
            </w:r>
            <w:r w:rsidR="00920E43">
              <w:t xml:space="preserve"> </w:t>
            </w:r>
          </w:p>
          <w:p w:rsidR="00375F2E" w:rsidRDefault="00920E43" w:rsidP="00375F2E">
            <w:pPr>
              <w:jc w:val="center"/>
            </w:pPr>
            <w:r>
              <w:t>(НПА Думы и Главы НР)</w:t>
            </w:r>
          </w:p>
          <w:p w:rsidR="00375F2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п.1:   0/</w:t>
            </w:r>
            <w:r w:rsidR="00920E43">
              <w:rPr>
                <w:b w:val="0"/>
                <w:sz w:val="24"/>
                <w:szCs w:val="24"/>
              </w:rPr>
              <w:t>22</w:t>
            </w:r>
          </w:p>
          <w:p w:rsidR="00375F2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п.2:    0/0</w:t>
            </w:r>
          </w:p>
          <w:p w:rsidR="00375F2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п.3:    0</w:t>
            </w:r>
            <w:r w:rsidR="00CF2938">
              <w:rPr>
                <w:b w:val="0"/>
                <w:sz w:val="24"/>
                <w:szCs w:val="24"/>
              </w:rPr>
              <w:t>/0</w:t>
            </w:r>
          </w:p>
          <w:p w:rsidR="00375F2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CF2938">
              <w:rPr>
                <w:b w:val="0"/>
                <w:sz w:val="24"/>
                <w:szCs w:val="24"/>
              </w:rPr>
              <w:t>2</w:t>
            </w:r>
            <w:r w:rsidR="00920E43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/2</w:t>
            </w:r>
            <w:r w:rsidR="00920E43">
              <w:rPr>
                <w:b w:val="0"/>
                <w:sz w:val="24"/>
                <w:szCs w:val="24"/>
              </w:rPr>
              <w:t>2</w:t>
            </w:r>
          </w:p>
          <w:p w:rsidR="00375F2E" w:rsidRPr="00F52919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п.5:    </w:t>
            </w:r>
            <w:r w:rsidR="00920E43">
              <w:rPr>
                <w:b w:val="0"/>
                <w:sz w:val="24"/>
                <w:szCs w:val="24"/>
              </w:rPr>
              <w:t>22</w:t>
            </w:r>
            <w:r w:rsidR="00CF2938">
              <w:rPr>
                <w:b w:val="0"/>
                <w:sz w:val="24"/>
                <w:szCs w:val="24"/>
              </w:rPr>
              <w:t>/89</w:t>
            </w:r>
          </w:p>
          <w:p w:rsidR="00375F2E" w:rsidRDefault="00375F2E" w:rsidP="00375F2E">
            <w:r>
              <w:t xml:space="preserve">п.6:    </w:t>
            </w:r>
            <w:r w:rsidR="00CF2938">
              <w:t>-</w:t>
            </w:r>
          </w:p>
          <w:p w:rsidR="00375F2E" w:rsidRDefault="00375F2E" w:rsidP="00375F2E">
            <w:r>
              <w:t xml:space="preserve">п.7:    </w:t>
            </w:r>
            <w:r w:rsidR="00CF2938">
              <w:t>0/0</w:t>
            </w:r>
          </w:p>
          <w:p w:rsidR="00375F2E" w:rsidRDefault="00375F2E" w:rsidP="00375F2E">
            <w:r>
              <w:t>п.8:</w:t>
            </w:r>
            <w:r w:rsidR="00CF2938">
              <w:t xml:space="preserve">    1/8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Количество (доля от общего количества муниципальных 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10.04.2015 № 65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204 </w:t>
            </w:r>
          </w:p>
          <w:p w:rsidR="00CA57EE" w:rsidRDefault="00CA57EE">
            <w:pPr>
              <w:jc w:val="center"/>
            </w:pPr>
          </w:p>
          <w:p w:rsidR="00E51CF7" w:rsidRDefault="00E51CF7">
            <w:pPr>
              <w:jc w:val="center"/>
            </w:pPr>
            <w:r>
              <w:t>159/209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  <w:r>
              <w:t>1/204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  <w:r>
              <w:t>0/204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  <w:r>
              <w:t>0/204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  <w:r>
              <w:t>0/204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  <w:r>
              <w:t>1/159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 xml:space="preserve">0/1 </w:t>
            </w:r>
          </w:p>
          <w:p w:rsidR="00F52919" w:rsidRDefault="00F52919" w:rsidP="00F52919">
            <w:pPr>
              <w:jc w:val="center"/>
            </w:pPr>
            <w:r>
              <w:t>(запланировано рассмотрение комиссией во 2 квартале 2015)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4/0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27/204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51CF7">
            <w:pPr>
              <w:jc w:val="both"/>
            </w:pPr>
            <w:r>
              <w:t xml:space="preserve"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</w:t>
            </w:r>
            <w:proofErr w:type="spellStart"/>
            <w:r>
              <w:t>Нефтеюганско</w:t>
            </w:r>
            <w:r w:rsidR="00E51CF7">
              <w:t>му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r w:rsidR="00E51CF7">
              <w:t>у</w:t>
            </w:r>
            <w:proofErr w:type="spellEnd"/>
            <w:r w:rsidR="00E51CF7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09.04.2015 № 01-05-361: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95656,1/64710,6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Соотношение - я147,8 %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09.04.2015 № 144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4/12/224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224 -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29/38/224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 xml:space="preserve">29 - </w:t>
            </w:r>
            <w:r w:rsidRPr="0002485F">
              <w:rPr>
                <w:b w:val="0"/>
                <w:sz w:val="24"/>
                <w:szCs w:val="24"/>
              </w:rPr>
              <w:t>количеств</w:t>
            </w:r>
            <w:r>
              <w:rPr>
                <w:b w:val="0"/>
                <w:sz w:val="24"/>
                <w:szCs w:val="24"/>
              </w:rPr>
              <w:t>о</w:t>
            </w:r>
            <w:r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 xml:space="preserve">224 -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(18)/4(18)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15A0">
              <w:rPr>
                <w:b w:val="0"/>
                <w:sz w:val="24"/>
                <w:szCs w:val="24"/>
                <w:u w:val="single"/>
              </w:rPr>
              <w:t>На отдельном листе</w:t>
            </w:r>
            <w:r>
              <w:rPr>
                <w:b w:val="0"/>
                <w:sz w:val="24"/>
                <w:szCs w:val="24"/>
                <w:u w:val="single"/>
              </w:rPr>
              <w:t xml:space="preserve"> Таблица 2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15A0">
              <w:rPr>
                <w:b w:val="0"/>
                <w:sz w:val="24"/>
                <w:szCs w:val="24"/>
                <w:u w:val="single"/>
              </w:rPr>
              <w:t>На отдельном листе</w:t>
            </w:r>
            <w:r>
              <w:rPr>
                <w:b w:val="0"/>
                <w:sz w:val="24"/>
                <w:szCs w:val="24"/>
                <w:u w:val="single"/>
              </w:rPr>
              <w:t xml:space="preserve"> Таблица 2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 xml:space="preserve">1 – многофункциональный центр </w:t>
            </w:r>
            <w:r w:rsidRPr="0033732B">
              <w:rPr>
                <w:b w:val="0"/>
                <w:sz w:val="24"/>
                <w:szCs w:val="24"/>
              </w:rPr>
              <w:br/>
              <w:t>предоставления государственных и муниципальных услуг (25 окон);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2 – удаленных рабочих ме</w:t>
            </w:r>
            <w:r>
              <w:rPr>
                <w:b w:val="0"/>
                <w:sz w:val="24"/>
                <w:szCs w:val="24"/>
              </w:rPr>
              <w:t xml:space="preserve">ста в </w:t>
            </w:r>
            <w:proofErr w:type="spellStart"/>
            <w:r>
              <w:rPr>
                <w:b w:val="0"/>
                <w:sz w:val="24"/>
                <w:szCs w:val="24"/>
              </w:rPr>
              <w:t>гп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ойковский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(5 окон), </w:t>
            </w:r>
            <w:proofErr w:type="spellStart"/>
            <w:r>
              <w:rPr>
                <w:b w:val="0"/>
                <w:sz w:val="24"/>
                <w:szCs w:val="24"/>
              </w:rPr>
              <w:t>сп.Салым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(2 окна).</w:t>
            </w:r>
          </w:p>
          <w:p w:rsidR="004F15A0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90673F" w:rsidRDefault="00CA57E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90673F">
              <w:rPr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90673F" w:rsidRDefault="00CA57E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90673F">
              <w:rPr>
                <w:sz w:val="24"/>
                <w:szCs w:val="24"/>
              </w:rPr>
              <w:t>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CA57EE" w:rsidRPr="0090673F" w:rsidRDefault="00CA57E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90673F">
              <w:rPr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CA57EE" w:rsidRDefault="00CC53A0">
            <w:pPr>
              <w:jc w:val="both"/>
            </w:pPr>
            <w:proofErr w:type="gramStart"/>
            <w:r>
              <w:rPr>
                <w:b/>
              </w:rPr>
              <w:t xml:space="preserve">4) </w:t>
            </w:r>
            <w:r w:rsidR="00CA57EE" w:rsidRPr="0090673F">
              <w:rPr>
                <w:b/>
              </w:rPr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09.04.2015 № 1454</w:t>
            </w:r>
          </w:p>
          <w:p w:rsidR="00CA57EE" w:rsidRDefault="00CA57E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  <w:r>
              <w:t>4 дня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>А</w:t>
            </w:r>
            <w:r w:rsidR="003A5CDE" w:rsidRPr="003A5CDE">
              <w:rPr>
                <w:b w:val="0"/>
                <w:sz w:val="24"/>
                <w:szCs w:val="24"/>
                <w:u w:val="single"/>
              </w:rPr>
              <w:t>налитическая</w:t>
            </w:r>
            <w:r w:rsidR="003A5CDE" w:rsidRPr="003A5CDE">
              <w:rPr>
                <w:b w:val="0"/>
                <w:sz w:val="24"/>
                <w:szCs w:val="24"/>
                <w:u w:val="single"/>
              </w:rPr>
              <w:br/>
              <w:t>справка Контрольно-счетной палаты Нефтеюганского района</w:t>
            </w:r>
            <w:r w:rsidR="003A5CDE">
              <w:rPr>
                <w:b w:val="0"/>
                <w:sz w:val="24"/>
                <w:szCs w:val="24"/>
              </w:rPr>
              <w:t xml:space="preserve"> от 30.04.2015 № 102:</w:t>
            </w:r>
          </w:p>
          <w:p w:rsidR="003A5CD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п.4: Количество проведенных проверок использования бюджетных средств – 4, из них: количество проверок, в результате которых выявлены нарушения федерального и окружного законодательства – 4/ количества материалов, направленных в правоохранительные органы -0;</w:t>
            </w:r>
          </w:p>
          <w:p w:rsidR="003A5CD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проверок, в результате которых выявлены нарушения федерального и окружного законодательства – 100%/ доля материалов, направленных в правоохранительные органы – 0%</w:t>
            </w:r>
          </w:p>
          <w:p w:rsidR="003A5CDE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>А</w:t>
            </w:r>
            <w:r w:rsidR="00CA57EE" w:rsidRPr="003A5CDE">
              <w:rPr>
                <w:b w:val="0"/>
                <w:sz w:val="24"/>
                <w:szCs w:val="24"/>
                <w:u w:val="single"/>
              </w:rPr>
              <w:t>налитическая</w:t>
            </w:r>
            <w:r w:rsidR="00CA57EE" w:rsidRPr="003A5CDE">
              <w:rPr>
                <w:b w:val="0"/>
                <w:sz w:val="24"/>
                <w:szCs w:val="24"/>
                <w:u w:val="single"/>
              </w:rPr>
              <w:br/>
              <w:t>справка</w:t>
            </w:r>
            <w:r w:rsidR="00451762" w:rsidRPr="003A5CDE">
              <w:rPr>
                <w:b w:val="0"/>
                <w:sz w:val="24"/>
                <w:szCs w:val="24"/>
                <w:u w:val="single"/>
              </w:rPr>
              <w:t xml:space="preserve"> контрольно-ревизионного управления администрации района</w:t>
            </w:r>
            <w:r w:rsidR="00451762">
              <w:rPr>
                <w:b w:val="0"/>
                <w:sz w:val="24"/>
                <w:szCs w:val="24"/>
              </w:rPr>
              <w:t xml:space="preserve"> от 10.04.2015: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п.4.: количество проведенных проверок использования бюджетных средств - 7, из них: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нарушения федерального и окружного законодательства </w:t>
            </w:r>
          </w:p>
          <w:p w:rsidR="00451762" w:rsidRPr="00622571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22571">
              <w:rPr>
                <w:b w:val="0"/>
                <w:sz w:val="24"/>
                <w:szCs w:val="24"/>
              </w:rPr>
              <w:t>не выявлено;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1762">
              <w:rPr>
                <w:b w:val="0"/>
                <w:sz w:val="24"/>
                <w:szCs w:val="24"/>
              </w:rPr>
              <w:t xml:space="preserve">п.5: </w:t>
            </w:r>
            <w:r w:rsidR="00622571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44-ФЗ – 6, из них:</w:t>
            </w:r>
          </w:p>
          <w:p w:rsidR="00622571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выявлены нарушения федерального и окружного законодательства – 1. Материалы проверки направлены в Службу контроля ХМАО-Югры, в правоохранительные органы не направлялись.</w:t>
            </w:r>
          </w:p>
          <w:p w:rsidR="00622571" w:rsidRPr="00451762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п.6: 0 руб.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Количество лиц, осужденных за совершение коррупционных преступлений, к общему количеству осужденных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согласованию), 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07.05.2015 № 07-02-2015: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 от 23.04.2015 № 52/2/2-4084:</w:t>
            </w:r>
          </w:p>
          <w:p w:rsidR="00CA57EE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 Нефтеюганского районного суда от 30.03.2015 № 7710: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  юридического    комитета администрации Нефтеюганского района от 09.04.2015 № 333-юр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09.04.2015 № 333-юр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2/5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Default="00375F2E" w:rsidP="00375F2E">
            <w:pPr>
              <w:jc w:val="center"/>
            </w:pPr>
            <w:r>
              <w:t>А</w:t>
            </w:r>
            <w:r w:rsidRPr="00F52919">
              <w:t>налитическая</w:t>
            </w:r>
            <w:r w:rsidRPr="00F52919">
              <w:br/>
              <w:t xml:space="preserve">справка </w:t>
            </w:r>
            <w:r>
              <w:t>юридическо-правового управления аппарата Думы Нефтеюганского района от 09.04.2015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FA0F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0/0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10.06.2015 № 80/ТО/50/8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 в том числе: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09.04.2015 № 09-исх-76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п.1: 0</w:t>
            </w:r>
          </w:p>
          <w:p w:rsidR="00E51CF7" w:rsidRPr="00735108" w:rsidRDefault="00E51CF7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 xml:space="preserve">п.2: </w:t>
            </w:r>
            <w:r w:rsidR="00E93694" w:rsidRPr="00735108">
              <w:rPr>
                <w:b w:val="0"/>
                <w:sz w:val="24"/>
                <w:szCs w:val="24"/>
              </w:rPr>
              <w:t>82, из них:</w:t>
            </w:r>
          </w:p>
          <w:p w:rsidR="00E93694" w:rsidRDefault="00E93694" w:rsidP="00E9369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обращений, переданных в правоохранительные органы, с указанием количества обращений, содержащих информацию о коррупции-0; </w:t>
            </w:r>
          </w:p>
          <w:p w:rsidR="00E93694" w:rsidRDefault="00E93694" w:rsidP="00E9369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- 0%; </w:t>
            </w:r>
          </w:p>
          <w:p w:rsidR="00E93694" w:rsidRDefault="00E93694" w:rsidP="00E9369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-0%.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01.04.2015 № 300/15</w:t>
            </w: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проанализированных информационных материалов – 16, из них:</w:t>
            </w: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-%;</w:t>
            </w:r>
            <w:proofErr w:type="gramEnd"/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– 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4F15A0" w:rsidRPr="004F15A0" w:rsidTr="00044D65">
        <w:tc>
          <w:tcPr>
            <w:tcW w:w="567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№ </w:t>
            </w:r>
            <w:proofErr w:type="gramStart"/>
            <w:r w:rsidRPr="004F15A0">
              <w:t>п</w:t>
            </w:r>
            <w:proofErr w:type="gramEnd"/>
            <w:r w:rsidRPr="004F15A0"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>Наименование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Наименование показателей</w:t>
            </w:r>
          </w:p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</w:p>
        </w:tc>
      </w:tr>
      <w:tr w:rsidR="004F15A0" w:rsidRPr="004F15A0" w:rsidTr="00044D65">
        <w:tc>
          <w:tcPr>
            <w:tcW w:w="567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времени, затрачиваемого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услуги, </w:t>
            </w:r>
            <w:r w:rsidRPr="004F15A0">
              <w:br/>
              <w:t xml:space="preserve">и максимального срока, </w:t>
            </w:r>
            <w:r w:rsidRPr="004F15A0">
              <w:br/>
              <w:t xml:space="preserve">установленного </w:t>
            </w:r>
            <w:r w:rsidRPr="004F15A0">
              <w:br/>
              <w:t xml:space="preserve">законодательством </w:t>
            </w:r>
            <w:r w:rsidRPr="004F15A0">
              <w:br/>
              <w:t xml:space="preserve">для предоставления </w:t>
            </w:r>
            <w:r w:rsidRPr="004F15A0">
              <w:br/>
              <w:t>данной услуги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 предоставления </w:t>
            </w:r>
            <w:r w:rsidRPr="004F15A0">
              <w:br/>
              <w:t xml:space="preserve">муниципальной услуги </w:t>
            </w:r>
            <w:r w:rsidRPr="004F15A0">
              <w:br/>
              <w:t xml:space="preserve">автоматизированным способом к усредненному времени, </w:t>
            </w:r>
            <w:r w:rsidRPr="004F15A0">
              <w:br/>
              <w:t xml:space="preserve">затрачиваемому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 </w:t>
            </w:r>
            <w:r w:rsidRPr="004F15A0">
              <w:br/>
              <w:t>муниципальным служащим Нефтеюганского района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архивных справок или копий архивных </w:t>
            </w:r>
            <w:r w:rsidRPr="004F15A0">
              <w:br/>
              <w:t>документов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 дня/30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 дня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Выдача информации, копий архивных документов по тематическим запросам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5 дней/30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/5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Выдача архивных документов для работы в читальном зале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 дней/30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/7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Осуществление сохранности документов постоянного хранения и по личному составу ликвидированных предприятий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 мес./не установлено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/2 мес.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F15A0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 дней/15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Прием заявлений, постановка на учет детей в образовательные </w:t>
            </w:r>
            <w:r w:rsidRPr="004F15A0">
              <w:br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 дня/5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/2 дня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Бесплатная передача в собственность граждан Российской </w:t>
            </w:r>
            <w:r w:rsidRPr="004F15A0">
              <w:br/>
              <w:t xml:space="preserve">Федерации занимаемых ими жилых помещений в муниципальном жилищном фонде (приватизация жилых помещений) 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45 дней/60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/45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/30дней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CC53A0">
            <w:r w:rsidRPr="004F15A0">
              <w:t>Предоставление жилых помещений муниципального жилищного фонда Нефтеюганского района коммерческого использования по договорам найма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сведений из реестра муниципального имущества муниципального образования </w:t>
            </w:r>
            <w:proofErr w:type="spellStart"/>
            <w:r w:rsidRPr="004F15A0">
              <w:t>Нефтеюганский</w:t>
            </w:r>
            <w:proofErr w:type="spellEnd"/>
            <w:r w:rsidRPr="004F15A0"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 дней/15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Выдача разрешения на строительство (за исключением случаев, </w:t>
            </w:r>
            <w:r w:rsidRPr="004F15A0">
              <w:br/>
              <w:t xml:space="preserve">предусмотренных Градостроительным кодексом Российской </w:t>
            </w:r>
            <w:r w:rsidRPr="004F15A0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 дней/10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/8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Выдача разрешения на ввод объекта в эксплуатацию при </w:t>
            </w:r>
            <w:r w:rsidRPr="004F15A0">
              <w:br/>
              <w:t xml:space="preserve">осуществлении строительства, реконструкции объекта </w:t>
            </w:r>
            <w:r w:rsidRPr="004F15A0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 дней/10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/8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Выдача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 дней/30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/25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Выдача разрешений на установку и эксплуатацию рекламных </w:t>
            </w:r>
            <w:r w:rsidRPr="004F15A0">
              <w:br/>
              <w:t>конструкций, аннулирование таких разрешений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36 дней/60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/36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разрешения на отклонение от предельных </w:t>
            </w:r>
            <w:r w:rsidRPr="004F15A0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Не оказывалась/90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 -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информации о порядке предоставления </w:t>
            </w:r>
          </w:p>
          <w:p w:rsidR="004F15A0" w:rsidRPr="004F15A0" w:rsidRDefault="004F15A0" w:rsidP="004F15A0">
            <w:r w:rsidRPr="004F15A0">
              <w:t>жилищно-коммунальных услуг населению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 -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 дней /15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хозяйством для осуществления </w:t>
            </w:r>
            <w:r w:rsidRPr="004F15A0">
              <w:br/>
              <w:t>их деятельности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60 дней /60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/60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гражданину земельного участка в границах </w:t>
            </w:r>
            <w:r w:rsidRPr="004F15A0">
              <w:br/>
              <w:t xml:space="preserve">садоводческого, огороднического и дачного некоммерческого </w:t>
            </w:r>
            <w:r w:rsidRPr="004F15A0">
              <w:br/>
              <w:t>объединения граждан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 дней /14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/14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земельных участков, находящихся </w:t>
            </w:r>
          </w:p>
          <w:p w:rsidR="004F15A0" w:rsidRPr="004F15A0" w:rsidRDefault="004F15A0" w:rsidP="004F15A0">
            <w:r w:rsidRPr="004F15A0">
              <w:t xml:space="preserve">в муниципальной собственности или государственная </w:t>
            </w:r>
            <w:r w:rsidRPr="004F15A0">
              <w:br/>
            </w:r>
            <w:proofErr w:type="gramStart"/>
            <w:r w:rsidRPr="004F15A0">
              <w:t>собственность</w:t>
            </w:r>
            <w:proofErr w:type="gramEnd"/>
            <w:r w:rsidRPr="004F15A0">
              <w:t xml:space="preserve"> на которые не разграничена, без торгов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30 дней 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30 дней 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Выдача разрешения на использование земель или земельного участка, находящегося в </w:t>
            </w:r>
            <w:proofErr w:type="gramStart"/>
            <w:r w:rsidRPr="004F15A0">
              <w:t>государственной</w:t>
            </w:r>
            <w:proofErr w:type="gramEnd"/>
            <w:r w:rsidRPr="004F15A0">
              <w:t xml:space="preserve"> или муниципальной </w:t>
            </w:r>
          </w:p>
          <w:p w:rsidR="004F15A0" w:rsidRPr="004F15A0" w:rsidRDefault="004F15A0" w:rsidP="004F15A0">
            <w:r w:rsidRPr="004F15A0">
              <w:t xml:space="preserve">собственности, а также земельных участков, государственная </w:t>
            </w:r>
            <w:r w:rsidRPr="004F15A0">
              <w:br/>
              <w:t>собственность на которые не разграничена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 дней /25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/25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поддержки субъектам малого и среднего </w:t>
            </w:r>
            <w:r w:rsidRPr="004F15A0">
              <w:br/>
              <w:t xml:space="preserve">предпринимательства в рамках реализации муниципальной </w:t>
            </w:r>
            <w:r w:rsidRPr="004F15A0">
              <w:br/>
              <w:t>программы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30 дней 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/30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pPr>
              <w:tabs>
                <w:tab w:val="left" w:pos="1725"/>
              </w:tabs>
            </w:pPr>
            <w:r w:rsidRPr="004F15A0"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 минут/10минут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/10 минут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>Расчет платы в счет возмещения вреда, причиняемого</w:t>
            </w:r>
            <w:r w:rsidRPr="004F15A0">
              <w:br/>
              <w:t xml:space="preserve">транспортными средствами, осуществляющими перевозки </w:t>
            </w:r>
            <w:r w:rsidRPr="004F15A0">
              <w:br/>
              <w:t xml:space="preserve">тяжеловесных грузов, при движении таких транспортных средств </w:t>
            </w:r>
            <w:r w:rsidRPr="004F15A0">
              <w:br/>
              <w:t>по автомобильным дорогам местного значения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 день/3 дня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/1 день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пользователям автомобильных дорог общего </w:t>
            </w:r>
            <w:r w:rsidRPr="004F15A0">
              <w:br/>
              <w:t xml:space="preserve">пользования местного значения Нефтеюганского района </w:t>
            </w:r>
            <w:r w:rsidRPr="004F15A0">
              <w:br/>
              <w:t>информации о состоянии автомобильных дорог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 -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Предоставление субсидий на поддержку агропромышленного </w:t>
            </w:r>
            <w:r w:rsidRPr="004F15A0">
              <w:br/>
              <w:t>комплекса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 дней /35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/20 дней</w:t>
            </w:r>
          </w:p>
        </w:tc>
      </w:tr>
      <w:tr w:rsidR="004F15A0" w:rsidRPr="004F15A0" w:rsidTr="00044D65">
        <w:tc>
          <w:tcPr>
            <w:tcW w:w="567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29.</w:t>
            </w:r>
          </w:p>
        </w:tc>
        <w:tc>
          <w:tcPr>
            <w:tcW w:w="7229" w:type="dxa"/>
            <w:shd w:val="clear" w:color="auto" w:fill="auto"/>
          </w:tcPr>
          <w:p w:rsidR="004F15A0" w:rsidRPr="004F15A0" w:rsidRDefault="004F15A0" w:rsidP="004F15A0">
            <w:r w:rsidRPr="004F15A0">
              <w:t xml:space="preserve">Государственная регистрация заявлений о проведении </w:t>
            </w:r>
            <w:r w:rsidRPr="004F15A0">
              <w:br/>
              <w:t>общественной экологической экспертизы</w:t>
            </w:r>
          </w:p>
        </w:tc>
        <w:tc>
          <w:tcPr>
            <w:tcW w:w="3402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Не оказывалась/7 дней</w:t>
            </w:r>
          </w:p>
        </w:tc>
        <w:tc>
          <w:tcPr>
            <w:tcW w:w="3544" w:type="dxa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- / -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AB6E06" w:rsidRDefault="0080430A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F20C1"/>
    <w:rsid w:val="0033732B"/>
    <w:rsid w:val="00375F2E"/>
    <w:rsid w:val="003810E1"/>
    <w:rsid w:val="003A5CDE"/>
    <w:rsid w:val="0042262E"/>
    <w:rsid w:val="004256B4"/>
    <w:rsid w:val="00451762"/>
    <w:rsid w:val="004F15A0"/>
    <w:rsid w:val="00537210"/>
    <w:rsid w:val="00622571"/>
    <w:rsid w:val="00735108"/>
    <w:rsid w:val="00833012"/>
    <w:rsid w:val="0090673F"/>
    <w:rsid w:val="00920E43"/>
    <w:rsid w:val="00CA57EE"/>
    <w:rsid w:val="00CC53A0"/>
    <w:rsid w:val="00CF2938"/>
    <w:rsid w:val="00DA56A3"/>
    <w:rsid w:val="00E51CF7"/>
    <w:rsid w:val="00E901CA"/>
    <w:rsid w:val="00E93694"/>
    <w:rsid w:val="00F52919"/>
    <w:rsid w:val="00FA0FC8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Оксана Владимировна</dc:creator>
  <cp:keywords/>
  <dc:description/>
  <cp:lastModifiedBy>Бородкина Оксана Владимировна</cp:lastModifiedBy>
  <cp:revision>6</cp:revision>
  <cp:lastPrinted>2015-10-06T12:57:00Z</cp:lastPrinted>
  <dcterms:created xsi:type="dcterms:W3CDTF">2015-06-16T12:33:00Z</dcterms:created>
  <dcterms:modified xsi:type="dcterms:W3CDTF">2015-10-06T12:56:00Z</dcterms:modified>
</cp:coreProperties>
</file>